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BD73" w14:textId="61EE03CF" w:rsidR="00181BE5" w:rsidRDefault="002117A0" w:rsidP="00F91B40">
      <w:pPr>
        <w:jc w:val="center"/>
        <w:rPr>
          <w:b/>
          <w:bCs/>
          <w:sz w:val="34"/>
          <w:szCs w:val="34"/>
        </w:rPr>
      </w:pPr>
      <w:r w:rsidRPr="004F6F01">
        <w:rPr>
          <w:b/>
          <w:bCs/>
          <w:sz w:val="34"/>
          <w:szCs w:val="34"/>
        </w:rPr>
        <w:t>Pravidla pro připojení a provoz zařízení připojených k soustavě centrálního zásobování teplem Teplárna Zlín s.r.o</w:t>
      </w:r>
      <w:r>
        <w:rPr>
          <w:b/>
          <w:bCs/>
          <w:sz w:val="34"/>
          <w:szCs w:val="34"/>
        </w:rPr>
        <w:t>.</w:t>
      </w:r>
    </w:p>
    <w:p w14:paraId="0314F4C5" w14:textId="77777777" w:rsidR="002117A0" w:rsidRDefault="002117A0" w:rsidP="002117A0"/>
    <w:p w14:paraId="4340C583" w14:textId="77777777" w:rsidR="00E502DD" w:rsidRPr="009D2D1B" w:rsidRDefault="00E502DD" w:rsidP="009D2D1B">
      <w:pPr>
        <w:pStyle w:val="Nadpis1"/>
      </w:pPr>
      <w:bookmarkStart w:id="0" w:name="_Toc257118316"/>
      <w:bookmarkStart w:id="1" w:name="_Toc137789182"/>
      <w:r w:rsidRPr="009D2D1B">
        <w:t>OBSAH</w:t>
      </w:r>
      <w:bookmarkEnd w:id="0"/>
      <w:bookmarkEnd w:id="1"/>
    </w:p>
    <w:p w14:paraId="26E5F92D" w14:textId="77777777" w:rsidR="00E502DD" w:rsidRDefault="00E502DD" w:rsidP="00181BE5"/>
    <w:p w14:paraId="5F94EADE" w14:textId="77777777" w:rsidR="002A715F" w:rsidRDefault="002A715F" w:rsidP="00181BE5">
      <w:pPr>
        <w:sectPr w:rsidR="002A715F" w:rsidSect="009656D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52EBF" w14:textId="2FA3D1F2" w:rsidR="008F5BF9" w:rsidRDefault="00955F1E">
      <w:pPr>
        <w:pStyle w:val="Obsah1"/>
        <w:tabs>
          <w:tab w:val="left" w:pos="480"/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45590">
        <w:rPr>
          <w:b/>
          <w:highlight w:val="red"/>
        </w:rPr>
        <w:fldChar w:fldCharType="begin"/>
      </w:r>
      <w:r w:rsidRPr="00645590">
        <w:rPr>
          <w:b/>
          <w:highlight w:val="red"/>
        </w:rPr>
        <w:instrText xml:space="preserve"> TOC  \* MERGEFORMAT </w:instrText>
      </w:r>
      <w:r w:rsidRPr="00645590">
        <w:rPr>
          <w:b/>
          <w:highlight w:val="red"/>
        </w:rPr>
        <w:fldChar w:fldCharType="separate"/>
      </w:r>
      <w:r w:rsidR="008F5BF9">
        <w:rPr>
          <w:noProof/>
        </w:rPr>
        <w:t>1</w:t>
      </w:r>
      <w:r w:rsidR="008F5BF9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8F5BF9">
        <w:rPr>
          <w:noProof/>
        </w:rPr>
        <w:t>OBSAH</w:t>
      </w:r>
      <w:r w:rsidR="008F5BF9">
        <w:rPr>
          <w:noProof/>
        </w:rPr>
        <w:tab/>
      </w:r>
      <w:r w:rsidR="008F5BF9">
        <w:rPr>
          <w:noProof/>
        </w:rPr>
        <w:fldChar w:fldCharType="begin"/>
      </w:r>
      <w:r w:rsidR="008F5BF9">
        <w:rPr>
          <w:noProof/>
        </w:rPr>
        <w:instrText xml:space="preserve"> PAGEREF _Toc137789182 \h </w:instrText>
      </w:r>
      <w:r w:rsidR="008F5BF9">
        <w:rPr>
          <w:noProof/>
        </w:rPr>
      </w:r>
      <w:r w:rsidR="008F5BF9">
        <w:rPr>
          <w:noProof/>
        </w:rPr>
        <w:fldChar w:fldCharType="separate"/>
      </w:r>
      <w:r w:rsidR="008F5BF9">
        <w:rPr>
          <w:noProof/>
        </w:rPr>
        <w:t>2</w:t>
      </w:r>
      <w:r w:rsidR="008F5BF9">
        <w:rPr>
          <w:noProof/>
        </w:rPr>
        <w:fldChar w:fldCharType="end"/>
      </w:r>
    </w:p>
    <w:p w14:paraId="3FAF2D34" w14:textId="53BDEB19" w:rsidR="008F5BF9" w:rsidRDefault="008F5BF9">
      <w:pPr>
        <w:pStyle w:val="Obsah1"/>
        <w:tabs>
          <w:tab w:val="left" w:pos="480"/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ÚVOD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917485D" w14:textId="2DCB9871" w:rsidR="008F5BF9" w:rsidRDefault="008F5BF9">
      <w:pPr>
        <w:pStyle w:val="Obsah1"/>
        <w:tabs>
          <w:tab w:val="left" w:pos="480"/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POJMY, DEFINICE A ZKRATKY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D400242" w14:textId="1C77C86F" w:rsidR="008F5BF9" w:rsidRDefault="008F5BF9">
      <w:pPr>
        <w:pStyle w:val="Obsah1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     POPISY ZABEZPEČUJÍCÍ ČINNOSTI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A37C16" w14:textId="7457750C" w:rsidR="008F5BF9" w:rsidRDefault="008F5BF9">
      <w:pPr>
        <w:pStyle w:val="Obsah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Projednání způsobu připojení odběrného místa: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DC373A" w14:textId="6011D3C3" w:rsidR="008F5BF9" w:rsidRDefault="008F5BF9">
      <w:pPr>
        <w:pStyle w:val="Obsah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Jmenovité parametry teplonosné látky v soustavách centrálního zásobování teplem, provozovaných TZ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03F80BE" w14:textId="06600450" w:rsidR="008F5BF9" w:rsidRDefault="008F5BF9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6.3.  Požadavky na připojení odběrného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F3AB63E" w14:textId="2097513F" w:rsidR="008F5BF9" w:rsidRDefault="008F5BF9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6.4.  Všeobecné požadavky na projektovou dokumentaci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A6E2B5D" w14:textId="54FF08B7" w:rsidR="008F5BF9" w:rsidRDefault="008F5BF9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6.5.  Podmínky pro provoz a údržbu připojených zařízení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F82518B" w14:textId="2052A629" w:rsidR="008F5BF9" w:rsidRDefault="008F5BF9">
      <w:pPr>
        <w:pStyle w:val="Obsah1"/>
        <w:tabs>
          <w:tab w:val="left" w:pos="480"/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VSTUPNÍ A VYSTAVENÁ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57F3BA2" w14:textId="6D90A1D9" w:rsidR="008F5BF9" w:rsidRDefault="008F5BF9">
      <w:pPr>
        <w:pStyle w:val="Obsah1"/>
        <w:tabs>
          <w:tab w:val="left" w:pos="480"/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SOUVISEJÍCÍ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D1F6C2D" w14:textId="1F5AB685" w:rsidR="008F5BF9" w:rsidRDefault="008F5BF9">
      <w:pPr>
        <w:pStyle w:val="Obsah1"/>
        <w:tabs>
          <w:tab w:val="left" w:pos="480"/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PŘÍLOHY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_Toc137789194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1CFFB55" w14:textId="359CB694" w:rsidR="006C430F" w:rsidRDefault="00955F1E" w:rsidP="006C430F">
      <w:pPr>
        <w:pStyle w:val="Nadpis1"/>
        <w:numPr>
          <w:ilvl w:val="0"/>
          <w:numId w:val="0"/>
        </w:numPr>
      </w:pPr>
      <w:r w:rsidRPr="00645590">
        <w:rPr>
          <w:highlight w:val="red"/>
        </w:rPr>
        <w:fldChar w:fldCharType="end"/>
      </w:r>
      <w:bookmarkStart w:id="2" w:name="_Toc257118317"/>
    </w:p>
    <w:p w14:paraId="1F8522DD" w14:textId="77777777" w:rsidR="00FE3C9F" w:rsidRDefault="00FE3C9F">
      <w:pPr>
        <w:rPr>
          <w:rFonts w:cs="Arial"/>
          <w:b/>
          <w:bCs/>
          <w:kern w:val="32"/>
          <w:szCs w:val="32"/>
        </w:rPr>
      </w:pPr>
      <w:r>
        <w:br w:type="page"/>
      </w:r>
    </w:p>
    <w:p w14:paraId="32E9D6E1" w14:textId="7181E6EE" w:rsidR="00E502DD" w:rsidRPr="009D2D1B" w:rsidRDefault="00E502DD" w:rsidP="00955F1E">
      <w:pPr>
        <w:pStyle w:val="Nadpis1"/>
      </w:pPr>
      <w:bookmarkStart w:id="3" w:name="_Toc137789183"/>
      <w:r w:rsidRPr="009D2D1B">
        <w:lastRenderedPageBreak/>
        <w:t>Ú</w:t>
      </w:r>
      <w:r w:rsidR="009F5ED4">
        <w:t>VOD</w:t>
      </w:r>
      <w:bookmarkEnd w:id="2"/>
      <w:bookmarkEnd w:id="3"/>
    </w:p>
    <w:p w14:paraId="4FE537E6" w14:textId="5FE8A97A" w:rsidR="00955F1E" w:rsidRPr="00501588" w:rsidRDefault="00955F1E" w:rsidP="00726383">
      <w:pPr>
        <w:pStyle w:val="Zkladntext2"/>
      </w:pPr>
      <w:r w:rsidRPr="00501588">
        <w:t xml:space="preserve">Tato technickoorganizační směrnice specifikuje způsoby a podmínky pro připojení odběratelů tepla k </w:t>
      </w:r>
      <w:r w:rsidR="00A86E55">
        <w:t>soustav</w:t>
      </w:r>
      <w:r w:rsidR="00DF18B8">
        <w:t>ě</w:t>
      </w:r>
      <w:r w:rsidR="00A86E55">
        <w:t xml:space="preserve"> zásobování tep</w:t>
      </w:r>
      <w:r w:rsidR="00DF18B8">
        <w:t>e</w:t>
      </w:r>
      <w:r w:rsidR="00A86E55">
        <w:t>l</w:t>
      </w:r>
      <w:r w:rsidR="00DF18B8">
        <w:t>nou energií</w:t>
      </w:r>
      <w:r w:rsidR="00A86E55">
        <w:t xml:space="preserve"> </w:t>
      </w:r>
      <w:r w:rsidRPr="00501588">
        <w:t>v souladu s platnou legislativou.</w:t>
      </w:r>
    </w:p>
    <w:p w14:paraId="279E5B4E" w14:textId="38AECB2C" w:rsidR="00955F1E" w:rsidRPr="00501588" w:rsidRDefault="00955F1E" w:rsidP="00726383">
      <w:pPr>
        <w:tabs>
          <w:tab w:val="left" w:pos="-142"/>
        </w:tabs>
        <w:jc w:val="both"/>
      </w:pPr>
      <w:r w:rsidRPr="00501588">
        <w:t xml:space="preserve">Základní </w:t>
      </w:r>
      <w:r w:rsidR="00DF18B8">
        <w:t xml:space="preserve">obecně závazné právní </w:t>
      </w:r>
      <w:r w:rsidRPr="00501588">
        <w:t>předpisy, ze kterých se</w:t>
      </w:r>
      <w:r w:rsidR="000D7B98">
        <w:t xml:space="preserve"> zejména</w:t>
      </w:r>
      <w:r w:rsidRPr="00501588">
        <w:t xml:space="preserve"> vychází při stanovení podmínek </w:t>
      </w:r>
      <w:r w:rsidR="00DF18B8">
        <w:t xml:space="preserve">pro </w:t>
      </w:r>
      <w:r w:rsidRPr="00501588">
        <w:t>připojení odběrných míst k rozvodnému tepelnému zařízení</w:t>
      </w:r>
      <w:r w:rsidR="00DF18B8">
        <w:t xml:space="preserve"> a pro odběr tepelné energie</w:t>
      </w:r>
      <w:r w:rsidR="006D3DDA">
        <w:t>,</w:t>
      </w:r>
      <w:r w:rsidRPr="00501588">
        <w:t xml:space="preserve"> jsou:</w:t>
      </w:r>
    </w:p>
    <w:p w14:paraId="012196A2" w14:textId="082A327E" w:rsidR="00955F1E" w:rsidRPr="00501588" w:rsidRDefault="00955F1E" w:rsidP="00726383">
      <w:pPr>
        <w:numPr>
          <w:ilvl w:val="0"/>
          <w:numId w:val="22"/>
        </w:numPr>
        <w:tabs>
          <w:tab w:val="clear" w:pos="1800"/>
          <w:tab w:val="left" w:pos="-142"/>
          <w:tab w:val="num" w:pos="720"/>
        </w:tabs>
        <w:ind w:left="720" w:hanging="436"/>
        <w:jc w:val="both"/>
      </w:pPr>
      <w:r w:rsidRPr="00501588">
        <w:t>Zákon č. 458/2000 Sb. o podmínkách podnikání a o výkonu státní správy v</w:t>
      </w:r>
      <w:r w:rsidR="00923AB5">
        <w:t> </w:t>
      </w:r>
      <w:r w:rsidRPr="00501588">
        <w:t>energetických odvětvích a o změně některých zákonů</w:t>
      </w:r>
      <w:r w:rsidR="006D3DDA">
        <w:t xml:space="preserve"> </w:t>
      </w:r>
      <w:r w:rsidRPr="00501588">
        <w:t>(energetický zákon)</w:t>
      </w:r>
      <w:r w:rsidR="00462C37">
        <w:t>, ve znění pozdějších předpisů</w:t>
      </w:r>
      <w:r w:rsidRPr="00501588">
        <w:t>.</w:t>
      </w:r>
    </w:p>
    <w:p w14:paraId="009C696C" w14:textId="3F22B287" w:rsidR="00C57DA8" w:rsidRDefault="00C57DA8" w:rsidP="00726383">
      <w:pPr>
        <w:numPr>
          <w:ilvl w:val="0"/>
          <w:numId w:val="22"/>
        </w:numPr>
        <w:tabs>
          <w:tab w:val="clear" w:pos="1800"/>
          <w:tab w:val="left" w:pos="-142"/>
          <w:tab w:val="num" w:pos="720"/>
        </w:tabs>
        <w:ind w:left="720" w:hanging="436"/>
        <w:jc w:val="both"/>
      </w:pPr>
      <w:r>
        <w:t>V</w:t>
      </w:r>
      <w:r w:rsidRPr="00C57DA8">
        <w:t>yhl</w:t>
      </w:r>
      <w:r>
        <w:t xml:space="preserve">áška </w:t>
      </w:r>
      <w:r w:rsidR="00462C37" w:rsidRPr="00462C37">
        <w:t xml:space="preserve">Ministerstva průmyslu a obchodu </w:t>
      </w:r>
      <w:r w:rsidRPr="00C57DA8">
        <w:t xml:space="preserve">č. </w:t>
      </w:r>
      <w:r w:rsidR="005946DF">
        <w:t>405</w:t>
      </w:r>
      <w:r w:rsidRPr="00C57DA8">
        <w:t>/201</w:t>
      </w:r>
      <w:r w:rsidR="005946DF">
        <w:t>5</w:t>
      </w:r>
      <w:r w:rsidRPr="00C57DA8">
        <w:t xml:space="preserve"> Sb. o způsobu rozdělení nákladů za dodávku tepelné energie při společném měření množství odebrané tepelné energie na přípravu teplé vody pro více odběrných míst</w:t>
      </w:r>
      <w:r w:rsidR="00B75CE0">
        <w:t>.</w:t>
      </w:r>
      <w:r w:rsidRPr="00C57DA8">
        <w:t xml:space="preserve"> </w:t>
      </w:r>
    </w:p>
    <w:p w14:paraId="0B84F9EE" w14:textId="0F76BBEB" w:rsidR="00C57DA8" w:rsidRDefault="00C57DA8" w:rsidP="00726383">
      <w:pPr>
        <w:numPr>
          <w:ilvl w:val="0"/>
          <w:numId w:val="22"/>
        </w:numPr>
        <w:tabs>
          <w:tab w:val="clear" w:pos="1800"/>
          <w:tab w:val="left" w:pos="-142"/>
          <w:tab w:val="num" w:pos="720"/>
        </w:tabs>
        <w:ind w:left="720" w:hanging="436"/>
        <w:jc w:val="both"/>
      </w:pPr>
      <w:r>
        <w:t>V</w:t>
      </w:r>
      <w:r w:rsidRPr="00C57DA8">
        <w:t>yhl</w:t>
      </w:r>
      <w:r>
        <w:t xml:space="preserve">áška </w:t>
      </w:r>
      <w:r w:rsidR="00462C37" w:rsidRPr="00462C37">
        <w:t xml:space="preserve">Ministerstva průmyslu a obchodu </w:t>
      </w:r>
      <w:r w:rsidRPr="00C57DA8">
        <w:t>č.478/2006 Sb. o způsobu výpočtu škody vzniklé držiteli licence</w:t>
      </w:r>
      <w:r>
        <w:t xml:space="preserve"> </w:t>
      </w:r>
      <w:r w:rsidRPr="00C57DA8">
        <w:t>neoprávněným odběrem tepla</w:t>
      </w:r>
      <w:r w:rsidR="00B75CE0">
        <w:t>.</w:t>
      </w:r>
    </w:p>
    <w:p w14:paraId="0774C617" w14:textId="3127C0C2" w:rsidR="00955F1E" w:rsidRPr="00501588" w:rsidRDefault="00955F1E" w:rsidP="00575FE8">
      <w:pPr>
        <w:numPr>
          <w:ilvl w:val="0"/>
          <w:numId w:val="22"/>
        </w:numPr>
        <w:tabs>
          <w:tab w:val="clear" w:pos="1800"/>
          <w:tab w:val="left" w:pos="-142"/>
          <w:tab w:val="num" w:pos="720"/>
        </w:tabs>
        <w:ind w:left="720" w:hanging="436"/>
        <w:jc w:val="both"/>
      </w:pPr>
      <w:r w:rsidRPr="00501588">
        <w:t xml:space="preserve">Vyhláška </w:t>
      </w:r>
      <w:r w:rsidR="00462C37" w:rsidRPr="00462C37">
        <w:t xml:space="preserve">Ministerstva průmyslu a obchodu </w:t>
      </w:r>
      <w:r w:rsidRPr="00501588">
        <w:t xml:space="preserve">č. 225/2001 Sb., </w:t>
      </w:r>
      <w:r w:rsidR="00462C37" w:rsidRPr="00462C37">
        <w:t xml:space="preserve">kterou se stanoví postup při vzniku a odstraňování stavu </w:t>
      </w:r>
      <w:r w:rsidRPr="00501588">
        <w:t>nouze v</w:t>
      </w:r>
      <w:r w:rsidR="00462C37">
        <w:t> </w:t>
      </w:r>
      <w:r w:rsidRPr="00501588">
        <w:t>teplárenství.</w:t>
      </w:r>
    </w:p>
    <w:p w14:paraId="1E37E0AD" w14:textId="3E3417D0" w:rsidR="003562AF" w:rsidRDefault="000957AB" w:rsidP="00575FE8">
      <w:pPr>
        <w:numPr>
          <w:ilvl w:val="0"/>
          <w:numId w:val="22"/>
        </w:numPr>
        <w:tabs>
          <w:tab w:val="clear" w:pos="1800"/>
          <w:tab w:val="left" w:pos="-142"/>
          <w:tab w:val="num" w:pos="720"/>
        </w:tabs>
        <w:ind w:left="720" w:hanging="436"/>
        <w:jc w:val="both"/>
      </w:pPr>
      <w:r>
        <w:t xml:space="preserve">Vyhláška </w:t>
      </w:r>
      <w:r w:rsidRPr="00462C37">
        <w:t xml:space="preserve">Ministerstva průmyslu a obchodu </w:t>
      </w:r>
      <w:r>
        <w:t>č. 193/2007 Sb.,</w:t>
      </w:r>
      <w:r w:rsidRPr="000957AB">
        <w:t xml:space="preserve"> kterou se stanoví podrobnosti účinnosti užití energie při rozvodu tepelné energie a vnitřním rozvodu tepelné energie a chladu</w:t>
      </w:r>
      <w:r>
        <w:t>.</w:t>
      </w:r>
    </w:p>
    <w:p w14:paraId="25E0020C" w14:textId="65AFA41D" w:rsidR="00955F1E" w:rsidRDefault="00575FE8" w:rsidP="00575FE8">
      <w:pPr>
        <w:numPr>
          <w:ilvl w:val="0"/>
          <w:numId w:val="22"/>
        </w:numPr>
        <w:tabs>
          <w:tab w:val="clear" w:pos="1800"/>
          <w:tab w:val="left" w:pos="-142"/>
          <w:tab w:val="num" w:pos="720"/>
        </w:tabs>
        <w:ind w:left="720" w:hanging="436"/>
        <w:jc w:val="both"/>
      </w:pPr>
      <w:r>
        <w:t xml:space="preserve">Vyhláška </w:t>
      </w:r>
      <w:r w:rsidRPr="00462C37">
        <w:t xml:space="preserve">Ministerstva průmyslu a obchodu </w:t>
      </w:r>
      <w:r>
        <w:t xml:space="preserve">č. 194/2007 Sb., </w:t>
      </w:r>
      <w:r w:rsidRPr="00BE5458">
        <w:t>kterou se stanoví pravidla pro vytápění a dodávku teplé vody, měrné ukazatele spotřeby tepelné energie pro vytápění a pro přípravu teplé vody a požadavky na vybavení vnitřních tepelných zařízení budov přístroji regulujícími a registrujícími dodávku tepelné energie</w:t>
      </w:r>
      <w:r>
        <w:t>, ve znění pozdějších předpisů.</w:t>
      </w:r>
    </w:p>
    <w:p w14:paraId="573B6E1E" w14:textId="77777777" w:rsidR="00E2008A" w:rsidRDefault="00E2008A" w:rsidP="00150EF2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2B217493" w14:textId="11301A23" w:rsidR="00150EF2" w:rsidRDefault="00E2008A" w:rsidP="00150EF2">
      <w:p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E2008A">
        <w:rPr>
          <w:szCs w:val="22"/>
        </w:rPr>
        <w:t>Tento vnitřní předpis je v souladu politikami Skupiny Sev.en a všechny činnosti prováděné dle tohoto předpisu se jimi řídí a respektují je.</w:t>
      </w:r>
    </w:p>
    <w:p w14:paraId="2D0380CB" w14:textId="09E86D7C" w:rsidR="006C430F" w:rsidRDefault="006C430F" w:rsidP="00FE3C9F">
      <w:pPr>
        <w:pStyle w:val="Zkladntext2"/>
        <w:tabs>
          <w:tab w:val="num" w:pos="378"/>
        </w:tabs>
        <w:spacing w:beforeLines="100" w:before="240"/>
      </w:pPr>
    </w:p>
    <w:p w14:paraId="1FD758FB" w14:textId="6A413FE0" w:rsidR="000D7B98" w:rsidRPr="002C30AF" w:rsidRDefault="006C430F" w:rsidP="00F91B40">
      <w:pPr>
        <w:pStyle w:val="Nadpis1"/>
        <w:numPr>
          <w:ilvl w:val="0"/>
          <w:numId w:val="0"/>
        </w:numPr>
      </w:pPr>
      <w:bookmarkStart w:id="4" w:name="_Toc137789185"/>
      <w:r w:rsidRPr="002C30AF">
        <w:t>5</w:t>
      </w:r>
      <w:r w:rsidR="006D3DDA">
        <w:tab/>
      </w:r>
      <w:r w:rsidRPr="002C30AF">
        <w:t xml:space="preserve">POJMY </w:t>
      </w:r>
      <w:r w:rsidR="005F218B">
        <w:t xml:space="preserve">A </w:t>
      </w:r>
      <w:r w:rsidRPr="002C30AF">
        <w:t>DEFINICE</w:t>
      </w:r>
      <w:bookmarkEnd w:id="4"/>
    </w:p>
    <w:p w14:paraId="237D64D6" w14:textId="77777777" w:rsidR="006C430F" w:rsidRPr="00645590" w:rsidRDefault="006C430F" w:rsidP="006C430F">
      <w:pPr>
        <w:jc w:val="both"/>
        <w:rPr>
          <w:b/>
          <w:highlight w:val="red"/>
          <w:u w:val="single"/>
        </w:rPr>
      </w:pPr>
    </w:p>
    <w:p w14:paraId="0FC47B25" w14:textId="722E6D40" w:rsidR="006C430F" w:rsidRPr="0072219C" w:rsidRDefault="006C430F" w:rsidP="000D7B98">
      <w:pPr>
        <w:jc w:val="both"/>
      </w:pPr>
      <w:r w:rsidRPr="0072219C">
        <w:rPr>
          <w:b/>
        </w:rPr>
        <w:t xml:space="preserve">Odběrné místo </w:t>
      </w:r>
      <w:r w:rsidRPr="0072219C">
        <w:t xml:space="preserve">je </w:t>
      </w:r>
      <w:r w:rsidR="0032052F">
        <w:t xml:space="preserve">místo, specifikované ve smlouvě o dodávkách tepelné energie, ve kterém tepelné energie přechází z vlastnictví TZ do vlastnictví zákazníka, obvykle je jím </w:t>
      </w:r>
      <w:r w:rsidRPr="0072219C">
        <w:t xml:space="preserve">první armatura na odbočce z rozvodného tepelného zařízení dodavatele (páteřního rozvodu </w:t>
      </w:r>
      <w:r w:rsidR="008115FA">
        <w:t>Teplárna Zlín</w:t>
      </w:r>
      <w:r w:rsidR="0072219C" w:rsidRPr="0072219C">
        <w:t xml:space="preserve"> s.r.o. </w:t>
      </w:r>
      <w:r w:rsidRPr="0072219C">
        <w:t xml:space="preserve">nebo poslední armatura před zaústěním vratné větve zpět do rozvodného tepelného zařízení dodavatele. Tyto armatury </w:t>
      </w:r>
      <w:r w:rsidR="00FC411C" w:rsidRPr="0072219C">
        <w:t xml:space="preserve">jsou součástí rozvodného tepelného zařízení </w:t>
      </w:r>
      <w:r w:rsidR="00FC411C">
        <w:t>před výměníkovou stanicí</w:t>
      </w:r>
      <w:r w:rsidR="008115FA">
        <w:t>,</w:t>
      </w:r>
      <w:r w:rsidR="00FC411C">
        <w:t xml:space="preserve"> není-li ve smlouvě o dodávkách tepelné energie specifikováno jinak</w:t>
      </w:r>
      <w:r w:rsidRPr="0072219C">
        <w:t xml:space="preserve">. </w:t>
      </w:r>
    </w:p>
    <w:p w14:paraId="7FB4F269" w14:textId="77777777" w:rsidR="00374D97" w:rsidRDefault="00374D97" w:rsidP="000D7B98">
      <w:pPr>
        <w:jc w:val="both"/>
        <w:rPr>
          <w:b/>
        </w:rPr>
      </w:pPr>
    </w:p>
    <w:p w14:paraId="5BC49A48" w14:textId="77777777" w:rsidR="006C430F" w:rsidRDefault="006C430F" w:rsidP="00E85D4D">
      <w:pPr>
        <w:jc w:val="both"/>
      </w:pPr>
      <w:r w:rsidRPr="0072219C">
        <w:rPr>
          <w:b/>
        </w:rPr>
        <w:t xml:space="preserve">Měření tepla </w:t>
      </w:r>
      <w:r w:rsidR="00DA3042">
        <w:rPr>
          <w:b/>
        </w:rPr>
        <w:t>v horké vodě</w:t>
      </w:r>
      <w:r w:rsidR="00FC411C">
        <w:rPr>
          <w:b/>
        </w:rPr>
        <w:t xml:space="preserve"> </w:t>
      </w:r>
      <w:r w:rsidR="005B5CB5" w:rsidRPr="004F6F01">
        <w:t xml:space="preserve">§ 78 </w:t>
      </w:r>
      <w:proofErr w:type="gramStart"/>
      <w:r w:rsidR="005B5CB5" w:rsidRPr="004F6F01">
        <w:t>EZ</w:t>
      </w:r>
      <w:r w:rsidRPr="0072219C">
        <w:rPr>
          <w:b/>
        </w:rPr>
        <w:t xml:space="preserve">- </w:t>
      </w:r>
      <w:r w:rsidRPr="0072219C">
        <w:t>je</w:t>
      </w:r>
      <w:proofErr w:type="gramEnd"/>
      <w:r w:rsidRPr="0072219C">
        <w:t xml:space="preserve"> tvořeno cejchovaným průtokoměrem a měřením diferenční teploty mezi oběma větvemi, popřípadě měřením průtoku a teploty vody doplňované do sekundárního okruhu odběratele. </w:t>
      </w:r>
      <w:r w:rsidR="00C57DA8">
        <w:t>Způsob a umístění m</w:t>
      </w:r>
      <w:r w:rsidR="006D3DDA">
        <w:t>ě</w:t>
      </w:r>
      <w:r w:rsidR="00C57DA8">
        <w:t xml:space="preserve">ření stanovuje dodavatel. </w:t>
      </w:r>
      <w:r w:rsidRPr="0072219C">
        <w:t>Měření instaluje a udržuje dodavatel.</w:t>
      </w:r>
    </w:p>
    <w:p w14:paraId="205FAAFA" w14:textId="77777777" w:rsidR="00DA3042" w:rsidRDefault="00DA3042" w:rsidP="000D7B98">
      <w:pPr>
        <w:jc w:val="both"/>
      </w:pPr>
    </w:p>
    <w:p w14:paraId="112F051A" w14:textId="1C508BAF" w:rsidR="00DA3042" w:rsidRDefault="00DA3042" w:rsidP="000D7B98">
      <w:pPr>
        <w:jc w:val="both"/>
      </w:pPr>
      <w:r w:rsidRPr="00AF5F51">
        <w:rPr>
          <w:b/>
        </w:rPr>
        <w:t>Měření tepla v</w:t>
      </w:r>
      <w:r w:rsidR="005B5CB5">
        <w:rPr>
          <w:b/>
        </w:rPr>
        <w:t> </w:t>
      </w:r>
      <w:r w:rsidRPr="00AF5F51">
        <w:rPr>
          <w:b/>
        </w:rPr>
        <w:t>páře</w:t>
      </w:r>
      <w:r w:rsidR="005B5CB5">
        <w:rPr>
          <w:b/>
        </w:rPr>
        <w:t xml:space="preserve"> </w:t>
      </w:r>
      <w:r w:rsidR="005B5CB5" w:rsidRPr="004F6F01">
        <w:t>§ 78 EZ</w:t>
      </w:r>
      <w:r w:rsidR="00094898" w:rsidRPr="005B5CB5">
        <w:t xml:space="preserve"> </w:t>
      </w:r>
      <w:r w:rsidR="00094898">
        <w:t>– je tvořeno usměrňovačem proudění, cejchovaným průtokoměrem, teploměrem a tlakoměrem</w:t>
      </w:r>
      <w:r w:rsidR="005912C3">
        <w:t>,</w:t>
      </w:r>
      <w:r w:rsidR="00094898">
        <w:t xml:space="preserve"> umístěnými v parním </w:t>
      </w:r>
      <w:r w:rsidR="005912C3">
        <w:t>potrubí</w:t>
      </w:r>
      <w:r w:rsidR="00094898">
        <w:t xml:space="preserve"> s vyvedením do vyhodnocovací jednotky. Způsob a umístění měření stanovuje dodavatel. Měření instaluje a</w:t>
      </w:r>
      <w:r w:rsidR="00F91B40">
        <w:t> </w:t>
      </w:r>
      <w:r w:rsidR="00094898">
        <w:t>udržuje dodavatel</w:t>
      </w:r>
      <w:r w:rsidR="005912C3">
        <w:t>.</w:t>
      </w:r>
    </w:p>
    <w:p w14:paraId="6B02EC33" w14:textId="77777777" w:rsidR="006C430F" w:rsidRPr="00645590" w:rsidRDefault="006C430F" w:rsidP="000D7B98">
      <w:pPr>
        <w:jc w:val="both"/>
        <w:rPr>
          <w:highlight w:val="red"/>
        </w:rPr>
      </w:pPr>
    </w:p>
    <w:p w14:paraId="6A2C43E1" w14:textId="77777777" w:rsidR="006C430F" w:rsidRPr="0072219C" w:rsidRDefault="006C430F" w:rsidP="000D7B98">
      <w:pPr>
        <w:jc w:val="both"/>
      </w:pPr>
      <w:r w:rsidRPr="0072219C">
        <w:rPr>
          <w:b/>
        </w:rPr>
        <w:lastRenderedPageBreak/>
        <w:t>Tepelná přípojka</w:t>
      </w:r>
      <w:r w:rsidRPr="0072219C">
        <w:t xml:space="preserve"> </w:t>
      </w:r>
      <w:r w:rsidR="005B5CB5" w:rsidRPr="005B5CB5">
        <w:t>§ 79</w:t>
      </w:r>
      <w:r w:rsidR="005B5CB5">
        <w:t xml:space="preserve"> </w:t>
      </w:r>
      <w:proofErr w:type="gramStart"/>
      <w:r w:rsidR="005B5CB5">
        <w:t>EZ</w:t>
      </w:r>
      <w:r w:rsidRPr="0072219C">
        <w:t xml:space="preserve"> - zařízení</w:t>
      </w:r>
      <w:proofErr w:type="gramEnd"/>
      <w:r w:rsidRPr="0072219C">
        <w:t>, které vede teplonosnou látku z rozvodného tepelného zařízení k odběrnému tepelnému zařízení pouze pro jednoho odběratele. Tepelná přípojka začíná odbočením od rozvodného tepelného zařízení a končí vstupem do odběrného tepelného zařízení. Opravy a údržbu tepelné přípojky zajišťuje její vlastník.</w:t>
      </w:r>
    </w:p>
    <w:p w14:paraId="3F35098C" w14:textId="77777777" w:rsidR="006C430F" w:rsidRPr="00645590" w:rsidRDefault="006C430F" w:rsidP="000D7B98">
      <w:pPr>
        <w:jc w:val="both"/>
        <w:rPr>
          <w:highlight w:val="red"/>
        </w:rPr>
      </w:pPr>
    </w:p>
    <w:p w14:paraId="70BC0E88" w14:textId="4A234B70" w:rsidR="006C430F" w:rsidRPr="00374D97" w:rsidRDefault="006C430F" w:rsidP="00203F11">
      <w:pPr>
        <w:pStyle w:val="Nadpis1"/>
        <w:numPr>
          <w:ilvl w:val="0"/>
          <w:numId w:val="0"/>
        </w:numPr>
      </w:pPr>
      <w:bookmarkStart w:id="5" w:name="_Toc137789186"/>
      <w:r w:rsidRPr="00374D97">
        <w:t xml:space="preserve">6.     </w:t>
      </w:r>
      <w:r w:rsidRPr="005F218B">
        <w:t>POPISY ZABEZPEČUJÍCÍ ČINNOSTI</w:t>
      </w:r>
      <w:bookmarkEnd w:id="5"/>
    </w:p>
    <w:p w14:paraId="79866CF7" w14:textId="77777777" w:rsidR="006C430F" w:rsidRPr="00374D97" w:rsidRDefault="006C430F" w:rsidP="006C430F">
      <w:pPr>
        <w:tabs>
          <w:tab w:val="num" w:pos="378"/>
        </w:tabs>
        <w:jc w:val="both"/>
      </w:pPr>
    </w:p>
    <w:p w14:paraId="350F3FC9" w14:textId="77777777" w:rsidR="006C430F" w:rsidRPr="00374D97" w:rsidRDefault="006C430F" w:rsidP="006C430F">
      <w:pPr>
        <w:ind w:left="1134" w:hanging="1134"/>
      </w:pPr>
    </w:p>
    <w:p w14:paraId="250EC5D5" w14:textId="77777777" w:rsidR="006C430F" w:rsidRPr="00374D97" w:rsidRDefault="006C430F" w:rsidP="00446EB7">
      <w:pPr>
        <w:pStyle w:val="Nadpis3"/>
        <w:numPr>
          <w:ilvl w:val="1"/>
          <w:numId w:val="24"/>
        </w:numPr>
        <w:spacing w:before="0" w:after="0"/>
        <w:jc w:val="both"/>
      </w:pPr>
      <w:bookmarkStart w:id="6" w:name="_Toc213130302"/>
      <w:bookmarkStart w:id="7" w:name="_Toc137789187"/>
      <w:r w:rsidRPr="00374D97">
        <w:t>Projednání způsobu připojení odběrného místa:</w:t>
      </w:r>
      <w:bookmarkEnd w:id="6"/>
      <w:bookmarkEnd w:id="7"/>
    </w:p>
    <w:p w14:paraId="42C83E9E" w14:textId="77777777" w:rsidR="006C430F" w:rsidRPr="00374D97" w:rsidRDefault="006C430F" w:rsidP="000D7B98">
      <w:pPr>
        <w:jc w:val="both"/>
      </w:pPr>
    </w:p>
    <w:p w14:paraId="1716FCC2" w14:textId="201BB663" w:rsidR="006C430F" w:rsidRPr="00374D97" w:rsidRDefault="006C430F" w:rsidP="000D7B98">
      <w:pPr>
        <w:tabs>
          <w:tab w:val="left" w:pos="-142"/>
        </w:tabs>
        <w:jc w:val="both"/>
      </w:pPr>
      <w:r w:rsidRPr="00374D97">
        <w:t xml:space="preserve">Pro každé nové odběrné místo odběrné místo musí být podána „Přihláška k odběru </w:t>
      </w:r>
      <w:r w:rsidR="00BB79B6">
        <w:t>tepelné energie</w:t>
      </w:r>
      <w:r w:rsidRPr="00374D97">
        <w:t>“</w:t>
      </w:r>
    </w:p>
    <w:p w14:paraId="67EB4B48" w14:textId="77777777" w:rsidR="006C430F" w:rsidRPr="00374D97" w:rsidRDefault="006C430F" w:rsidP="000D7B98">
      <w:pPr>
        <w:tabs>
          <w:tab w:val="left" w:pos="-142"/>
        </w:tabs>
        <w:jc w:val="both"/>
      </w:pPr>
      <w:r w:rsidRPr="00374D97">
        <w:t xml:space="preserve">Na základě této žádosti obdrží </w:t>
      </w:r>
      <w:r w:rsidR="00D309D9">
        <w:t>odběratel</w:t>
      </w:r>
      <w:r w:rsidR="00D309D9" w:rsidRPr="00374D97">
        <w:t xml:space="preserve"> </w:t>
      </w:r>
      <w:r w:rsidRPr="00374D97">
        <w:t xml:space="preserve">do 30 dnů </w:t>
      </w:r>
      <w:proofErr w:type="spellStart"/>
      <w:r w:rsidRPr="00374D97">
        <w:t>technicko-obchodní</w:t>
      </w:r>
      <w:proofErr w:type="spellEnd"/>
      <w:r w:rsidRPr="00374D97">
        <w:t xml:space="preserve"> vyjádření, které obsahuje tyto základní informace:</w:t>
      </w:r>
    </w:p>
    <w:p w14:paraId="48B3FAD2" w14:textId="77777777" w:rsidR="006C430F" w:rsidRPr="00374D97" w:rsidRDefault="006C430F" w:rsidP="000D7B98">
      <w:pPr>
        <w:numPr>
          <w:ilvl w:val="0"/>
          <w:numId w:val="26"/>
        </w:numPr>
        <w:tabs>
          <w:tab w:val="clear" w:pos="1800"/>
          <w:tab w:val="left" w:pos="-142"/>
          <w:tab w:val="num" w:pos="720"/>
        </w:tabs>
        <w:ind w:left="720" w:hanging="720"/>
        <w:jc w:val="both"/>
      </w:pPr>
      <w:r w:rsidRPr="00374D97">
        <w:t>Způsob připojení (místo, parametry</w:t>
      </w:r>
      <w:r w:rsidR="00D309D9">
        <w:t>, úpravy zařízení odběratele pro instalaci měření</w:t>
      </w:r>
      <w:r w:rsidRPr="00374D97">
        <w:t>).</w:t>
      </w:r>
    </w:p>
    <w:p w14:paraId="3BAA392F" w14:textId="77777777" w:rsidR="006C430F" w:rsidRPr="00374D97" w:rsidRDefault="006C430F" w:rsidP="000D7B98">
      <w:pPr>
        <w:numPr>
          <w:ilvl w:val="0"/>
          <w:numId w:val="26"/>
        </w:numPr>
        <w:tabs>
          <w:tab w:val="clear" w:pos="1800"/>
          <w:tab w:val="left" w:pos="-142"/>
          <w:tab w:val="num" w:pos="720"/>
        </w:tabs>
        <w:ind w:left="720" w:hanging="720"/>
        <w:jc w:val="both"/>
      </w:pPr>
      <w:r w:rsidRPr="00374D97">
        <w:t>Možný termín připojení, zvýšení rezervovaného příkonu.</w:t>
      </w:r>
    </w:p>
    <w:p w14:paraId="0C609353" w14:textId="77777777" w:rsidR="006C430F" w:rsidRPr="00374D97" w:rsidRDefault="006C430F" w:rsidP="000D7B98">
      <w:pPr>
        <w:numPr>
          <w:ilvl w:val="0"/>
          <w:numId w:val="26"/>
        </w:numPr>
        <w:tabs>
          <w:tab w:val="clear" w:pos="1800"/>
          <w:tab w:val="left" w:pos="-142"/>
          <w:tab w:val="num" w:pos="720"/>
        </w:tabs>
        <w:ind w:left="720" w:hanging="720"/>
        <w:jc w:val="both"/>
      </w:pPr>
      <w:r w:rsidRPr="00374D97">
        <w:t>Výše podílu na účelně vynaložených nákladech dodavatele (při nutné úpravě rozvodného tepelného zařízení).</w:t>
      </w:r>
    </w:p>
    <w:p w14:paraId="7000830F" w14:textId="77777777" w:rsidR="006C430F" w:rsidRPr="00374D97" w:rsidRDefault="006C430F" w:rsidP="000D7B98">
      <w:pPr>
        <w:tabs>
          <w:tab w:val="left" w:pos="-142"/>
        </w:tabs>
        <w:jc w:val="both"/>
      </w:pPr>
    </w:p>
    <w:p w14:paraId="5EB0C138" w14:textId="599A26F8" w:rsidR="006C430F" w:rsidRDefault="006C430F" w:rsidP="000D7B98">
      <w:pPr>
        <w:jc w:val="both"/>
      </w:pPr>
      <w:r w:rsidRPr="00374D97">
        <w:t xml:space="preserve">Přihláška k odběru tepla bude podána obchodnímu oddělení </w:t>
      </w:r>
      <w:r w:rsidR="00BA70AD">
        <w:t>Teplárna Zlín</w:t>
      </w:r>
      <w:r w:rsidR="00C70EF7">
        <w:t> s.r.o.</w:t>
      </w:r>
      <w:r w:rsidRPr="00374D97">
        <w:t xml:space="preserve">, </w:t>
      </w:r>
      <w:r w:rsidR="00BA70AD">
        <w:t>Hlavničkovo nábřeží 650, Zlín 76001</w:t>
      </w:r>
      <w:r w:rsidR="00E85D4D">
        <w:t xml:space="preserve">, </w:t>
      </w:r>
      <w:r w:rsidRPr="00374D97">
        <w:t xml:space="preserve">Kontakty a přihláška k odběru tepla jsou umístěny na webových </w:t>
      </w:r>
      <w:r w:rsidRPr="008F013D">
        <w:t xml:space="preserve">stránkách </w:t>
      </w:r>
      <w:r w:rsidR="00BA70AD" w:rsidRPr="00BA70AD">
        <w:t>https://www.7.c</w:t>
      </w:r>
      <w:r w:rsidR="00EC7DF0">
        <w:t>z</w:t>
      </w:r>
      <w:r w:rsidR="00BA70AD" w:rsidRPr="00BA70AD">
        <w:t>/cz/cinnosti/dokumenty-zlin.html</w:t>
      </w:r>
    </w:p>
    <w:p w14:paraId="3DF17B67" w14:textId="77777777" w:rsidR="00EE4172" w:rsidRDefault="00EE4172" w:rsidP="000D7B98">
      <w:pPr>
        <w:jc w:val="both"/>
      </w:pPr>
    </w:p>
    <w:p w14:paraId="7417F422" w14:textId="77777777" w:rsidR="00EE4172" w:rsidRPr="000D7B98" w:rsidRDefault="00EE4172" w:rsidP="000D7B98">
      <w:pPr>
        <w:jc w:val="both"/>
        <w:rPr>
          <w:b/>
        </w:rPr>
      </w:pPr>
      <w:r w:rsidRPr="000D7B98">
        <w:rPr>
          <w:b/>
        </w:rPr>
        <w:t>Požadované úpravy měřícího místa pro osazení měření tepla</w:t>
      </w:r>
      <w:r w:rsidR="002B65FC">
        <w:rPr>
          <w:b/>
        </w:rPr>
        <w:t xml:space="preserve"> (provádí odběratel)</w:t>
      </w:r>
    </w:p>
    <w:p w14:paraId="55FDB4C3" w14:textId="77777777" w:rsidR="00EE4172" w:rsidRDefault="00EE4172" w:rsidP="000D7B98">
      <w:pPr>
        <w:jc w:val="both"/>
      </w:pPr>
    </w:p>
    <w:p w14:paraId="010C72C9" w14:textId="77777777" w:rsidR="00EE4172" w:rsidRDefault="00EE4172" w:rsidP="000D7B98">
      <w:pPr>
        <w:jc w:val="both"/>
      </w:pPr>
      <w:r>
        <w:t>Pokud nebude ve vyjádření dle 6.1.a) uvedeno jinak, musí místo pro umístění měření spl</w:t>
      </w:r>
      <w:r w:rsidR="004C5B81">
        <w:t>ňo</w:t>
      </w:r>
      <w:r>
        <w:t>vat níže uvedené požadavky</w:t>
      </w:r>
      <w:r w:rsidR="002B65FC">
        <w:t xml:space="preserve">. </w:t>
      </w:r>
    </w:p>
    <w:p w14:paraId="559C499B" w14:textId="77777777" w:rsidR="002B65FC" w:rsidRDefault="002B65FC" w:rsidP="000D7B98">
      <w:pPr>
        <w:jc w:val="both"/>
      </w:pPr>
    </w:p>
    <w:p w14:paraId="67C0AF2D" w14:textId="6E338958" w:rsidR="00EE4172" w:rsidRDefault="00EE4172" w:rsidP="000D7B98">
      <w:pPr>
        <w:numPr>
          <w:ilvl w:val="0"/>
          <w:numId w:val="38"/>
        </w:numPr>
        <w:jc w:val="both"/>
      </w:pPr>
      <w:r>
        <w:t>Odběratel na svůj náklad</w:t>
      </w:r>
      <w:r w:rsidRPr="00EE4172">
        <w:t xml:space="preserve"> </w:t>
      </w:r>
      <w:r>
        <w:t xml:space="preserve">zajistí přívod pro </w:t>
      </w:r>
      <w:r w:rsidRPr="00EE4172">
        <w:t>napájení měř</w:t>
      </w:r>
      <w:r w:rsidR="004C5B81">
        <w:t xml:space="preserve">ení o napětí </w:t>
      </w:r>
      <w:proofErr w:type="gramStart"/>
      <w:r w:rsidRPr="00EE4172">
        <w:t>230V</w:t>
      </w:r>
      <w:proofErr w:type="gramEnd"/>
      <w:r w:rsidRPr="00EE4172">
        <w:t>/50Hz</w:t>
      </w:r>
      <w:r>
        <w:t xml:space="preserve">, obvykle zakončený v krabici v blízkosti měřícího zařízení. Toto </w:t>
      </w:r>
      <w:r w:rsidRPr="00EE4172">
        <w:t xml:space="preserve">napájení musí mít </w:t>
      </w:r>
      <w:r>
        <w:t xml:space="preserve">platnou </w:t>
      </w:r>
      <w:r w:rsidRPr="00EE4172">
        <w:t>revizi</w:t>
      </w:r>
      <w:r w:rsidR="004C5B81">
        <w:t>. Odběratel je povinen na vyzvání k</w:t>
      </w:r>
      <w:r w:rsidRPr="00EE4172">
        <w:t xml:space="preserve">opii </w:t>
      </w:r>
      <w:r w:rsidR="004C5B81">
        <w:t>revize pře</w:t>
      </w:r>
      <w:r w:rsidR="009F76EA">
        <w:t>d</w:t>
      </w:r>
      <w:r w:rsidR="004C5B81">
        <w:t xml:space="preserve">ložit </w:t>
      </w:r>
      <w:r w:rsidRPr="00EE4172">
        <w:t>pracovní</w:t>
      </w:r>
      <w:r w:rsidR="004C5B81">
        <w:t>kům</w:t>
      </w:r>
      <w:r w:rsidRPr="00EE4172">
        <w:t xml:space="preserve"> </w:t>
      </w:r>
      <w:r w:rsidR="00BA70AD">
        <w:t>TZ</w:t>
      </w:r>
      <w:r w:rsidR="004C5B81">
        <w:t>. Propojení měření tepla s přívodem zajišťuje</w:t>
      </w:r>
      <w:r w:rsidR="00F50F43">
        <w:t xml:space="preserve"> </w:t>
      </w:r>
      <w:r w:rsidR="00BA70AD">
        <w:t>TZ</w:t>
      </w:r>
      <w:r w:rsidR="009C3E2F">
        <w:t>.</w:t>
      </w:r>
    </w:p>
    <w:p w14:paraId="660D3DEB" w14:textId="77777777" w:rsidR="004C5B81" w:rsidRDefault="004C5B81" w:rsidP="000D7B98">
      <w:pPr>
        <w:numPr>
          <w:ilvl w:val="0"/>
          <w:numId w:val="38"/>
        </w:numPr>
        <w:jc w:val="both"/>
      </w:pPr>
      <w:r>
        <w:t xml:space="preserve">Místo měření musí být osvětleno, v místě měření musí být rovná podlaha a volný prostor o půdorysu minimálně 80 x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>.</w:t>
      </w:r>
    </w:p>
    <w:p w14:paraId="250D41C8" w14:textId="77777777" w:rsidR="004C5B81" w:rsidRDefault="004C5B81" w:rsidP="000D7B98">
      <w:pPr>
        <w:numPr>
          <w:ilvl w:val="0"/>
          <w:numId w:val="38"/>
        </w:numPr>
        <w:jc w:val="both"/>
      </w:pPr>
      <w:r>
        <w:t>Místo pro montáž části měření tzv. průtokoměr, musí být zvoleno tak, aby:</w:t>
      </w:r>
    </w:p>
    <w:p w14:paraId="08A14E3B" w14:textId="77777777" w:rsidR="002B65FC" w:rsidRDefault="002B65FC" w:rsidP="000D7B98">
      <w:pPr>
        <w:jc w:val="both"/>
      </w:pPr>
    </w:p>
    <w:p w14:paraId="2F42E63B" w14:textId="77777777" w:rsidR="002B65FC" w:rsidRDefault="002B65FC" w:rsidP="002B65FC">
      <w:pPr>
        <w:numPr>
          <w:ilvl w:val="0"/>
          <w:numId w:val="39"/>
        </w:numPr>
        <w:jc w:val="both"/>
      </w:pPr>
      <w:r>
        <w:t xml:space="preserve">Bylo možné použít </w:t>
      </w:r>
      <w:r w:rsidRPr="002B65FC">
        <w:t>vratného potrubí</w:t>
      </w:r>
      <w:r w:rsidR="005912C3">
        <w:t xml:space="preserve"> pro</w:t>
      </w:r>
      <w:r w:rsidR="007E5BC2">
        <w:t xml:space="preserve"> měření tepla v horké vodě, nebo vstupní parní potrubí při měření tepla v</w:t>
      </w:r>
      <w:r w:rsidR="009C3E2F">
        <w:t> </w:t>
      </w:r>
      <w:r w:rsidR="007E5BC2">
        <w:t>páře</w:t>
      </w:r>
      <w:r w:rsidR="009C3E2F">
        <w:t>.</w:t>
      </w:r>
    </w:p>
    <w:p w14:paraId="34873323" w14:textId="4A28DA46" w:rsidR="002B65FC" w:rsidRDefault="00F50F43" w:rsidP="002B65FC">
      <w:pPr>
        <w:numPr>
          <w:ilvl w:val="0"/>
          <w:numId w:val="39"/>
        </w:numPr>
        <w:jc w:val="both"/>
      </w:pPr>
      <w:r>
        <w:t xml:space="preserve">Uklidňující </w:t>
      </w:r>
      <w:r w:rsidR="002B65FC" w:rsidRPr="00697231">
        <w:t>zóna před a za průtokoměrem b</w:t>
      </w:r>
      <w:r w:rsidR="002B65FC">
        <w:t>yla</w:t>
      </w:r>
      <w:r w:rsidR="002B65FC" w:rsidRPr="00697231">
        <w:t xml:space="preserve"> 6</w:t>
      </w:r>
      <w:r w:rsidR="002B65FC">
        <w:t>x</w:t>
      </w:r>
      <w:r w:rsidR="002B65FC" w:rsidRPr="00697231">
        <w:t>D</w:t>
      </w:r>
      <w:r w:rsidR="009C3E2F">
        <w:t>.</w:t>
      </w:r>
    </w:p>
    <w:p w14:paraId="41C1870D" w14:textId="77777777" w:rsidR="002B65FC" w:rsidRDefault="009C3E2F" w:rsidP="002B65FC">
      <w:pPr>
        <w:numPr>
          <w:ilvl w:val="0"/>
          <w:numId w:val="39"/>
        </w:numPr>
        <w:jc w:val="both"/>
      </w:pPr>
      <w:r>
        <w:t>Z</w:t>
      </w:r>
      <w:r w:rsidR="002B65FC" w:rsidRPr="002B65FC">
        <w:t>a průtokoměrem</w:t>
      </w:r>
      <w:r w:rsidR="002B65FC">
        <w:t xml:space="preserve"> byl nainstalován </w:t>
      </w:r>
      <w:r w:rsidR="002B65FC" w:rsidRPr="002B65FC">
        <w:t>vypouštěcí ventil</w:t>
      </w:r>
      <w:r>
        <w:t>.</w:t>
      </w:r>
    </w:p>
    <w:p w14:paraId="3866E68C" w14:textId="77777777" w:rsidR="002B65FC" w:rsidRDefault="009C3E2F" w:rsidP="002B65FC">
      <w:pPr>
        <w:numPr>
          <w:ilvl w:val="0"/>
          <w:numId w:val="39"/>
        </w:numPr>
        <w:jc w:val="both"/>
      </w:pPr>
      <w:r>
        <w:t>M</w:t>
      </w:r>
      <w:r w:rsidR="002B65FC" w:rsidRPr="002B65FC">
        <w:t xml:space="preserve">ontážní prostor okolo průtokoměru </w:t>
      </w:r>
      <w:r w:rsidR="002B65FC">
        <w:t>byl</w:t>
      </w:r>
      <w:r w:rsidR="002B65FC" w:rsidRPr="002B65FC">
        <w:t xml:space="preserve"> minimálně </w:t>
      </w:r>
      <w:smartTag w:uri="urn:schemas-microsoft-com:office:smarttags" w:element="metricconverter">
        <w:smartTagPr>
          <w:attr w:name="ProductID" w:val="30 cm"/>
        </w:smartTagPr>
        <w:r w:rsidR="002B65FC" w:rsidRPr="002B65FC">
          <w:t>30 cm</w:t>
        </w:r>
        <w:r>
          <w:t>.</w:t>
        </w:r>
      </w:smartTag>
    </w:p>
    <w:p w14:paraId="5EA7671E" w14:textId="77777777" w:rsidR="002B65FC" w:rsidRDefault="002B65FC" w:rsidP="002B65FC">
      <w:pPr>
        <w:numPr>
          <w:ilvl w:val="0"/>
          <w:numId w:val="39"/>
        </w:numPr>
        <w:jc w:val="both"/>
      </w:pPr>
      <w:r w:rsidRPr="002B65FC">
        <w:t>Pro uzavření průtokoměrné části z obou stran (při demontáži průtokoměru) musí být nainstalovány vhodné armatury ve vzdálenosti max</w:t>
      </w:r>
      <w:r>
        <w:t>imálně</w:t>
      </w:r>
      <w:r w:rsidRPr="002B65FC">
        <w:t xml:space="preserve"> </w:t>
      </w:r>
      <w:smartTag w:uri="urn:schemas-microsoft-com:office:smarttags" w:element="metricconverter">
        <w:smartTagPr>
          <w:attr w:name="ProductID" w:val="2 m"/>
        </w:smartTagPr>
        <w:r w:rsidRPr="002B65FC">
          <w:t>2 m</w:t>
        </w:r>
      </w:smartTag>
      <w:r w:rsidRPr="002B65FC">
        <w:t xml:space="preserve"> od průtokoměru.</w:t>
      </w:r>
    </w:p>
    <w:p w14:paraId="572BD711" w14:textId="77777777" w:rsidR="002B65FC" w:rsidRDefault="002B65FC" w:rsidP="000D7B98">
      <w:pPr>
        <w:jc w:val="both"/>
      </w:pPr>
    </w:p>
    <w:p w14:paraId="47E699F7" w14:textId="77777777" w:rsidR="002B65FC" w:rsidRDefault="002B65FC" w:rsidP="000D7B98">
      <w:pPr>
        <w:numPr>
          <w:ilvl w:val="0"/>
          <w:numId w:val="38"/>
        </w:numPr>
        <w:jc w:val="both"/>
      </w:pPr>
      <w:r w:rsidRPr="002B65FC">
        <w:t xml:space="preserve">Průtokoměr nebo kompaktní měřič tepla </w:t>
      </w:r>
      <w:r w:rsidR="00694D58">
        <w:t xml:space="preserve">(měření) </w:t>
      </w:r>
      <w:r w:rsidRPr="002B65FC">
        <w:t>musí být umístěn</w:t>
      </w:r>
      <w:r w:rsidR="00694D58">
        <w:t>o</w:t>
      </w:r>
      <w:r w:rsidRPr="002B65FC">
        <w:t xml:space="preserve"> minimálně </w:t>
      </w:r>
      <w:smartTag w:uri="urn:schemas-microsoft-com:office:smarttags" w:element="metricconverter">
        <w:smartTagPr>
          <w:attr w:name="ProductID" w:val="60 cm"/>
        </w:smartTagPr>
        <w:r w:rsidRPr="002B65FC">
          <w:t>60 cm</w:t>
        </w:r>
      </w:smartTag>
      <w:r w:rsidRPr="002B65FC">
        <w:t xml:space="preserve"> a maximálně </w:t>
      </w:r>
      <w:smartTag w:uri="urn:schemas-microsoft-com:office:smarttags" w:element="metricconverter">
        <w:smartTagPr>
          <w:attr w:name="ProductID" w:val="160 cm"/>
        </w:smartTagPr>
        <w:r w:rsidRPr="002B65FC">
          <w:t>160 cm</w:t>
        </w:r>
      </w:smartTag>
      <w:r w:rsidRPr="002B65FC">
        <w:t xml:space="preserve"> od podlahy</w:t>
      </w:r>
    </w:p>
    <w:p w14:paraId="74AD7D0E" w14:textId="77777777" w:rsidR="00694D58" w:rsidRDefault="00694D58" w:rsidP="000D7B98">
      <w:pPr>
        <w:numPr>
          <w:ilvl w:val="0"/>
          <w:numId w:val="38"/>
        </w:numPr>
        <w:jc w:val="both"/>
      </w:pPr>
      <w:r>
        <w:t xml:space="preserve">V místě </w:t>
      </w:r>
      <w:r w:rsidRPr="00694D58">
        <w:t xml:space="preserve">osazení </w:t>
      </w:r>
      <w:r>
        <w:t>měření</w:t>
      </w:r>
      <w:r w:rsidRPr="00694D58">
        <w:t xml:space="preserve"> musí být zajištěno stálé zaplavení průtokoměrné části.</w:t>
      </w:r>
    </w:p>
    <w:p w14:paraId="3EA38A9B" w14:textId="77777777" w:rsidR="00694D58" w:rsidRDefault="00694D58" w:rsidP="000D7B98">
      <w:pPr>
        <w:numPr>
          <w:ilvl w:val="0"/>
          <w:numId w:val="38"/>
        </w:numPr>
        <w:jc w:val="both"/>
      </w:pPr>
      <w:r>
        <w:t>Veškeré komponenty měření musí být umístěny v jedné místnosti</w:t>
      </w:r>
    </w:p>
    <w:p w14:paraId="2309345A" w14:textId="77777777" w:rsidR="002B65FC" w:rsidRDefault="002B65FC" w:rsidP="000D7B98">
      <w:pPr>
        <w:ind w:left="360"/>
        <w:jc w:val="both"/>
      </w:pPr>
    </w:p>
    <w:p w14:paraId="332A2495" w14:textId="77777777" w:rsidR="006C430F" w:rsidRPr="00645590" w:rsidRDefault="006C430F" w:rsidP="00446EB7">
      <w:pPr>
        <w:ind w:left="480"/>
        <w:jc w:val="both"/>
        <w:rPr>
          <w:highlight w:val="red"/>
        </w:rPr>
      </w:pPr>
    </w:p>
    <w:p w14:paraId="72CA3155" w14:textId="1C4A7916" w:rsidR="006C430F" w:rsidRPr="00EF743F" w:rsidRDefault="006C430F" w:rsidP="006C430F">
      <w:pPr>
        <w:pStyle w:val="Nadpis3"/>
        <w:numPr>
          <w:ilvl w:val="1"/>
          <w:numId w:val="24"/>
        </w:numPr>
        <w:spacing w:before="0" w:after="0"/>
        <w:jc w:val="both"/>
      </w:pPr>
      <w:bookmarkStart w:id="8" w:name="_Toc137789188"/>
      <w:r w:rsidRPr="00EF743F">
        <w:t>Jmenovité parametry</w:t>
      </w:r>
      <w:r w:rsidR="0049088C">
        <w:t xml:space="preserve"> teplonosné látky v soustavách centrálního zásobování teplem,</w:t>
      </w:r>
      <w:r w:rsidRPr="00EF743F">
        <w:t xml:space="preserve"> </w:t>
      </w:r>
      <w:r w:rsidR="006D3DDA">
        <w:t xml:space="preserve">provozovaných </w:t>
      </w:r>
      <w:r w:rsidR="00BA70AD">
        <w:t>TZ</w:t>
      </w:r>
      <w:bookmarkEnd w:id="8"/>
    </w:p>
    <w:p w14:paraId="51D3757A" w14:textId="77777777" w:rsidR="006C430F" w:rsidRDefault="006C430F" w:rsidP="006C430F"/>
    <w:p w14:paraId="1F439376" w14:textId="1C402C58" w:rsidR="00DC1399" w:rsidRDefault="00DC1399" w:rsidP="000D7B98">
      <w:pPr>
        <w:rPr>
          <w:b/>
          <w:i/>
          <w:u w:val="single"/>
        </w:rPr>
      </w:pPr>
      <w:r>
        <w:rPr>
          <w:b/>
          <w:i/>
          <w:u w:val="single"/>
        </w:rPr>
        <w:t>Horkovodní soustava</w:t>
      </w:r>
      <w:r w:rsidR="00993C29">
        <w:rPr>
          <w:b/>
          <w:i/>
          <w:u w:val="single"/>
        </w:rPr>
        <w:t xml:space="preserve"> oblast sídliště Jižní Svahy</w:t>
      </w:r>
      <w:r w:rsidR="009A5E70">
        <w:rPr>
          <w:b/>
          <w:i/>
          <w:u w:val="single"/>
        </w:rPr>
        <w:t xml:space="preserve"> (VYSOKOTLAK)</w:t>
      </w:r>
    </w:p>
    <w:p w14:paraId="7E7CE344" w14:textId="77777777" w:rsidR="00CB7069" w:rsidRDefault="00CB7069" w:rsidP="000D7B98"/>
    <w:p w14:paraId="4247B923" w14:textId="77777777" w:rsidR="008011D5" w:rsidRDefault="008011D5" w:rsidP="008011D5">
      <w:r>
        <w:t xml:space="preserve">Tlak min. 0,8 </w:t>
      </w:r>
      <w:proofErr w:type="spellStart"/>
      <w:r>
        <w:t>MPa</w:t>
      </w:r>
      <w:proofErr w:type="spellEnd"/>
    </w:p>
    <w:p w14:paraId="5496507A" w14:textId="77777777" w:rsidR="008011D5" w:rsidRDefault="008011D5" w:rsidP="008011D5">
      <w:r>
        <w:t xml:space="preserve">Tlak max. </w:t>
      </w:r>
      <w:r w:rsidR="00E97E69">
        <w:t>1</w:t>
      </w:r>
      <w:r>
        <w:t>,</w:t>
      </w:r>
      <w:r w:rsidR="00E97E69">
        <w:t>8</w:t>
      </w:r>
      <w:r>
        <w:t xml:space="preserve"> </w:t>
      </w:r>
      <w:proofErr w:type="spellStart"/>
      <w:r>
        <w:t>MPa</w:t>
      </w:r>
      <w:proofErr w:type="spellEnd"/>
    </w:p>
    <w:p w14:paraId="259A2D37" w14:textId="77777777" w:rsidR="008011D5" w:rsidRDefault="008011D5" w:rsidP="008011D5">
      <w:r>
        <w:t xml:space="preserve">Tlaková diference min. 0,05 </w:t>
      </w:r>
      <w:proofErr w:type="spellStart"/>
      <w:r>
        <w:t>MPa</w:t>
      </w:r>
      <w:proofErr w:type="spellEnd"/>
    </w:p>
    <w:p w14:paraId="26C5691B" w14:textId="77777777" w:rsidR="008011D5" w:rsidRDefault="008011D5" w:rsidP="008011D5">
      <w:r>
        <w:t>Tlaková diference max. 0,</w:t>
      </w:r>
      <w:r w:rsidR="00385B97">
        <w:t>65</w:t>
      </w:r>
      <w:r>
        <w:t xml:space="preserve"> </w:t>
      </w:r>
      <w:proofErr w:type="spellStart"/>
      <w:r>
        <w:t>MPa</w:t>
      </w:r>
      <w:proofErr w:type="spellEnd"/>
      <w:r w:rsidR="00560256">
        <w:t xml:space="preserve"> </w:t>
      </w:r>
    </w:p>
    <w:p w14:paraId="7E5DE747" w14:textId="77777777" w:rsidR="008011D5" w:rsidRDefault="008011D5" w:rsidP="008011D5">
      <w:r>
        <w:t>Teplota min. zima do -</w:t>
      </w:r>
      <w:proofErr w:type="gramStart"/>
      <w:r>
        <w:t>12°C</w:t>
      </w:r>
      <w:proofErr w:type="gramEnd"/>
      <w:r>
        <w:t xml:space="preserve"> </w:t>
      </w:r>
      <w:r w:rsidR="00E97E69">
        <w:t>90</w:t>
      </w:r>
      <w:r>
        <w:t xml:space="preserve"> °C</w:t>
      </w:r>
    </w:p>
    <w:p w14:paraId="737E9104" w14:textId="77777777" w:rsidR="008011D5" w:rsidRDefault="008011D5" w:rsidP="008011D5">
      <w:r>
        <w:t>Teplota max. zima do -</w:t>
      </w:r>
      <w:proofErr w:type="gramStart"/>
      <w:r>
        <w:t>12°C</w:t>
      </w:r>
      <w:proofErr w:type="gramEnd"/>
      <w:r>
        <w:t xml:space="preserve"> 1</w:t>
      </w:r>
      <w:r w:rsidR="00E97E69">
        <w:t>2</w:t>
      </w:r>
      <w:r>
        <w:t>5 °C</w:t>
      </w:r>
    </w:p>
    <w:p w14:paraId="598E3AF7" w14:textId="77777777" w:rsidR="008011D5" w:rsidRDefault="008011D5" w:rsidP="008011D5">
      <w:r>
        <w:t>Teplota léto min. 7</w:t>
      </w:r>
      <w:r w:rsidR="00E97E69">
        <w:t>5</w:t>
      </w:r>
      <w:r>
        <w:t xml:space="preserve"> °C</w:t>
      </w:r>
    </w:p>
    <w:p w14:paraId="407900F4" w14:textId="77777777" w:rsidR="002D7E38" w:rsidRDefault="008011D5" w:rsidP="008011D5">
      <w:r>
        <w:t>Teplota léto max. 10</w:t>
      </w:r>
      <w:r w:rsidR="00385B97">
        <w:t>0</w:t>
      </w:r>
      <w:r>
        <w:t xml:space="preserve"> °C</w:t>
      </w:r>
      <w:r w:rsidR="00560256">
        <w:t xml:space="preserve"> </w:t>
      </w:r>
    </w:p>
    <w:p w14:paraId="7D2667B4" w14:textId="77777777" w:rsidR="00E97E69" w:rsidRDefault="00E97E69" w:rsidP="008011D5"/>
    <w:p w14:paraId="5E32A891" w14:textId="198A61A0" w:rsidR="00E97E69" w:rsidRDefault="00E97E69" w:rsidP="00E97E69">
      <w:pPr>
        <w:rPr>
          <w:b/>
          <w:i/>
          <w:u w:val="single"/>
        </w:rPr>
      </w:pPr>
      <w:r>
        <w:rPr>
          <w:b/>
          <w:i/>
          <w:u w:val="single"/>
        </w:rPr>
        <w:t>Horkovodní soustava</w:t>
      </w:r>
      <w:r w:rsidR="00993C29">
        <w:rPr>
          <w:b/>
          <w:i/>
          <w:u w:val="single"/>
        </w:rPr>
        <w:t xml:space="preserve"> oblast </w:t>
      </w:r>
      <w:r w:rsidR="00A96414">
        <w:rPr>
          <w:b/>
          <w:i/>
          <w:u w:val="single"/>
        </w:rPr>
        <w:t xml:space="preserve">Nábřeží a </w:t>
      </w:r>
      <w:proofErr w:type="spellStart"/>
      <w:r w:rsidR="00A96414">
        <w:rPr>
          <w:b/>
          <w:i/>
          <w:u w:val="single"/>
        </w:rPr>
        <w:t>tř.T.Bati</w:t>
      </w:r>
      <w:proofErr w:type="spellEnd"/>
      <w:r w:rsidR="009A5E70">
        <w:rPr>
          <w:b/>
          <w:i/>
          <w:u w:val="single"/>
        </w:rPr>
        <w:t xml:space="preserve"> (NÍZKOTLAK)</w:t>
      </w:r>
    </w:p>
    <w:p w14:paraId="5879B05F" w14:textId="77777777" w:rsidR="00CB7069" w:rsidRDefault="00CB7069" w:rsidP="00E97E69"/>
    <w:p w14:paraId="173D818B" w14:textId="77777777" w:rsidR="00E97E69" w:rsidRDefault="00E97E69" w:rsidP="00E97E69">
      <w:r>
        <w:t xml:space="preserve">Tlak min. 1,02 </w:t>
      </w:r>
      <w:proofErr w:type="spellStart"/>
      <w:r>
        <w:t>MPa</w:t>
      </w:r>
      <w:proofErr w:type="spellEnd"/>
    </w:p>
    <w:p w14:paraId="2D9F6FEA" w14:textId="77777777" w:rsidR="00E97E69" w:rsidRDefault="00E97E69" w:rsidP="00E97E69">
      <w:r>
        <w:t xml:space="preserve">Tlak max. 1,2 </w:t>
      </w:r>
      <w:proofErr w:type="spellStart"/>
      <w:r>
        <w:t>MPa</w:t>
      </w:r>
      <w:proofErr w:type="spellEnd"/>
    </w:p>
    <w:p w14:paraId="5895233F" w14:textId="77777777" w:rsidR="00E97E69" w:rsidRDefault="00E97E69" w:rsidP="00E97E69">
      <w:r>
        <w:t xml:space="preserve">Tlaková diference min. 0,05 </w:t>
      </w:r>
      <w:proofErr w:type="spellStart"/>
      <w:r>
        <w:t>MPa</w:t>
      </w:r>
      <w:proofErr w:type="spellEnd"/>
    </w:p>
    <w:p w14:paraId="6C760D6A" w14:textId="77777777" w:rsidR="00E97E69" w:rsidRDefault="00E97E69" w:rsidP="00E97E69">
      <w:r>
        <w:t xml:space="preserve">Tlaková diference max. 0,65 </w:t>
      </w:r>
      <w:proofErr w:type="spellStart"/>
      <w:r>
        <w:t>MPa</w:t>
      </w:r>
      <w:proofErr w:type="spellEnd"/>
      <w:r>
        <w:t xml:space="preserve"> </w:t>
      </w:r>
    </w:p>
    <w:p w14:paraId="07ED7A12" w14:textId="77777777" w:rsidR="00E97E69" w:rsidRDefault="00E97E69" w:rsidP="00E97E69">
      <w:r>
        <w:t>Teplota min. zima do -</w:t>
      </w:r>
      <w:proofErr w:type="gramStart"/>
      <w:r>
        <w:t>12°C</w:t>
      </w:r>
      <w:proofErr w:type="gramEnd"/>
      <w:r>
        <w:t xml:space="preserve"> 90 °C</w:t>
      </w:r>
    </w:p>
    <w:p w14:paraId="3C70C102" w14:textId="77777777" w:rsidR="00E97E69" w:rsidRDefault="00E97E69" w:rsidP="00E97E69">
      <w:r>
        <w:t>Teplota max. zima do -</w:t>
      </w:r>
      <w:proofErr w:type="gramStart"/>
      <w:r>
        <w:t>12°C</w:t>
      </w:r>
      <w:proofErr w:type="gramEnd"/>
      <w:r>
        <w:t xml:space="preserve"> 125 °C</w:t>
      </w:r>
    </w:p>
    <w:p w14:paraId="4CA9339B" w14:textId="77777777" w:rsidR="00E97E69" w:rsidRDefault="00E97E69" w:rsidP="00E97E69">
      <w:r>
        <w:t>Teplota léto min. 75 °C</w:t>
      </w:r>
    </w:p>
    <w:p w14:paraId="122D9EE6" w14:textId="77777777" w:rsidR="00E97E69" w:rsidRDefault="00E97E69" w:rsidP="00E97E69">
      <w:r>
        <w:t xml:space="preserve">Teplota léto max. 100 °C </w:t>
      </w:r>
    </w:p>
    <w:p w14:paraId="7B358C02" w14:textId="77777777" w:rsidR="00E97E69" w:rsidRDefault="00E97E69" w:rsidP="008011D5"/>
    <w:p w14:paraId="2429330B" w14:textId="78043077" w:rsidR="00AE2B75" w:rsidRPr="00AE2B75" w:rsidRDefault="00AE2B75" w:rsidP="00AE2B75">
      <w:pPr>
        <w:rPr>
          <w:b/>
          <w:i/>
          <w:u w:val="single"/>
        </w:rPr>
      </w:pPr>
      <w:r w:rsidRPr="00AE2B75">
        <w:rPr>
          <w:b/>
          <w:i/>
          <w:u w:val="single"/>
        </w:rPr>
        <w:t xml:space="preserve">Horkovodní soustava </w:t>
      </w:r>
      <w:r w:rsidR="00A96414">
        <w:rPr>
          <w:b/>
          <w:i/>
          <w:u w:val="single"/>
        </w:rPr>
        <w:t xml:space="preserve">oblast </w:t>
      </w:r>
      <w:r w:rsidRPr="00AE2B75">
        <w:rPr>
          <w:b/>
          <w:i/>
          <w:u w:val="single"/>
        </w:rPr>
        <w:t>Louky</w:t>
      </w:r>
    </w:p>
    <w:p w14:paraId="5B97FA65" w14:textId="77777777" w:rsidR="00AE2B75" w:rsidRDefault="00AE2B75" w:rsidP="00AE2B75"/>
    <w:p w14:paraId="706DE6E1" w14:textId="77777777" w:rsidR="00AE2B75" w:rsidRDefault="00AE2B75" w:rsidP="00AE2B75">
      <w:r>
        <w:t xml:space="preserve">Tlak min. 0,24 </w:t>
      </w:r>
      <w:proofErr w:type="spellStart"/>
      <w:r>
        <w:t>MPa</w:t>
      </w:r>
      <w:proofErr w:type="spellEnd"/>
    </w:p>
    <w:p w14:paraId="433F3F0C" w14:textId="77777777" w:rsidR="00AE2B75" w:rsidRDefault="00AE2B75" w:rsidP="00AE2B75">
      <w:r>
        <w:t xml:space="preserve">Tlak max. 0,40 </w:t>
      </w:r>
      <w:proofErr w:type="spellStart"/>
      <w:r>
        <w:t>MPa</w:t>
      </w:r>
      <w:proofErr w:type="spellEnd"/>
    </w:p>
    <w:p w14:paraId="6C628C31" w14:textId="77777777" w:rsidR="00AE2B75" w:rsidRDefault="00AE2B75" w:rsidP="00AE2B75">
      <w:r>
        <w:t>Teplota vody 75 °C při venkovní teplotě 20 °C</w:t>
      </w:r>
    </w:p>
    <w:p w14:paraId="1BA93607" w14:textId="77777777" w:rsidR="00AE2B75" w:rsidRDefault="00AE2B75" w:rsidP="00AE2B75">
      <w:r>
        <w:t>Teplota vody 116 °C při venkovní teplotě -20 °C</w:t>
      </w:r>
    </w:p>
    <w:p w14:paraId="458A78B1" w14:textId="77777777" w:rsidR="00CF1F53" w:rsidRDefault="00AE2B75" w:rsidP="00AE2B75">
      <w:r>
        <w:t xml:space="preserve">Teplota je řízena regulátorem dle </w:t>
      </w:r>
      <w:proofErr w:type="spellStart"/>
      <w:r>
        <w:t>ekvitermní</w:t>
      </w:r>
      <w:proofErr w:type="spellEnd"/>
      <w:r>
        <w:t xml:space="preserve"> křivky</w:t>
      </w:r>
    </w:p>
    <w:p w14:paraId="6C450972" w14:textId="77777777" w:rsidR="00CF1F53" w:rsidRDefault="00CF1F53" w:rsidP="000D7B98"/>
    <w:p w14:paraId="2F8850E1" w14:textId="77777777" w:rsidR="00DC1399" w:rsidRDefault="00DC1399" w:rsidP="00DC1399">
      <w:pPr>
        <w:rPr>
          <w:b/>
          <w:i/>
          <w:u w:val="single"/>
        </w:rPr>
      </w:pPr>
      <w:r>
        <w:rPr>
          <w:b/>
          <w:i/>
          <w:u w:val="single"/>
        </w:rPr>
        <w:t>Parní soustava</w:t>
      </w:r>
    </w:p>
    <w:p w14:paraId="1B9381F6" w14:textId="77777777" w:rsidR="00DC1399" w:rsidRDefault="00DC1399" w:rsidP="00DC1399">
      <w:pPr>
        <w:rPr>
          <w:b/>
          <w:i/>
          <w:u w:val="single"/>
        </w:rPr>
      </w:pPr>
    </w:p>
    <w:p w14:paraId="04ED7304" w14:textId="77777777" w:rsidR="008011D5" w:rsidRDefault="008011D5" w:rsidP="008011D5">
      <w:r>
        <w:t xml:space="preserve">PÁRA PŘETLAK 0,3 </w:t>
      </w:r>
      <w:proofErr w:type="spellStart"/>
      <w:r>
        <w:t>MPa</w:t>
      </w:r>
      <w:proofErr w:type="spellEnd"/>
    </w:p>
    <w:p w14:paraId="24622038" w14:textId="0E0F9D2E" w:rsidR="008011D5" w:rsidRDefault="00B02F9B" w:rsidP="008011D5">
      <w:r>
        <w:t xml:space="preserve">Minimální přetlak </w:t>
      </w:r>
      <w:r w:rsidR="008011D5">
        <w:t>0,</w:t>
      </w:r>
      <w:r w:rsidR="00CF1F53">
        <w:t xml:space="preserve">27 </w:t>
      </w:r>
      <w:proofErr w:type="spellStart"/>
      <w:r w:rsidR="008011D5">
        <w:t>MPa</w:t>
      </w:r>
      <w:proofErr w:type="spellEnd"/>
    </w:p>
    <w:p w14:paraId="637ACDEC" w14:textId="080D9C05" w:rsidR="008011D5" w:rsidRDefault="00B02F9B" w:rsidP="008011D5">
      <w:r>
        <w:t>Maximální přetlak</w:t>
      </w:r>
      <w:r w:rsidR="008011D5">
        <w:t xml:space="preserve"> 0,3</w:t>
      </w:r>
      <w:r w:rsidR="00CF1F53">
        <w:t>3</w:t>
      </w:r>
      <w:r w:rsidR="008011D5">
        <w:t xml:space="preserve"> </w:t>
      </w:r>
      <w:proofErr w:type="spellStart"/>
      <w:r w:rsidR="008011D5">
        <w:t>MPa</w:t>
      </w:r>
      <w:proofErr w:type="spellEnd"/>
    </w:p>
    <w:p w14:paraId="793ABECE" w14:textId="0D272909" w:rsidR="008011D5" w:rsidRDefault="00B02F9B" w:rsidP="008011D5">
      <w:r>
        <w:t xml:space="preserve">Minimální teplota </w:t>
      </w:r>
      <w:r w:rsidR="008011D5">
        <w:t>1</w:t>
      </w:r>
      <w:r w:rsidR="00CF1F53">
        <w:t>4</w:t>
      </w:r>
      <w:r w:rsidR="002D7E38">
        <w:t>0</w:t>
      </w:r>
      <w:r w:rsidR="008011D5">
        <w:t xml:space="preserve"> °C</w:t>
      </w:r>
      <w:r w:rsidR="00385B97">
        <w:t xml:space="preserve"> </w:t>
      </w:r>
    </w:p>
    <w:p w14:paraId="5DB6F080" w14:textId="325E011B" w:rsidR="008011D5" w:rsidRDefault="00B02F9B" w:rsidP="008011D5">
      <w:r>
        <w:t>Maximální teplota</w:t>
      </w:r>
      <w:r w:rsidR="008011D5">
        <w:t xml:space="preserve"> 1</w:t>
      </w:r>
      <w:r w:rsidR="002D7E38">
        <w:t>9</w:t>
      </w:r>
      <w:r w:rsidR="00CF1F53">
        <w:t>5</w:t>
      </w:r>
      <w:r w:rsidR="008011D5">
        <w:t xml:space="preserve"> °C</w:t>
      </w:r>
    </w:p>
    <w:p w14:paraId="4E354E84" w14:textId="77777777" w:rsidR="008011D5" w:rsidRDefault="008011D5" w:rsidP="008011D5"/>
    <w:p w14:paraId="6E120CFF" w14:textId="77777777" w:rsidR="008011D5" w:rsidRDefault="008011D5" w:rsidP="008011D5">
      <w:r>
        <w:t xml:space="preserve">PÁRA PŘETLAK 1,2 </w:t>
      </w:r>
      <w:proofErr w:type="spellStart"/>
      <w:r>
        <w:t>MPa</w:t>
      </w:r>
      <w:proofErr w:type="spellEnd"/>
    </w:p>
    <w:p w14:paraId="458973D2" w14:textId="5B5D438C" w:rsidR="008011D5" w:rsidRDefault="00B02F9B" w:rsidP="008011D5">
      <w:r>
        <w:t>Minimální přetlak</w:t>
      </w:r>
      <w:r w:rsidR="008011D5">
        <w:t xml:space="preserve"> </w:t>
      </w:r>
      <w:r w:rsidR="00CF1F53">
        <w:t>1</w:t>
      </w:r>
      <w:r w:rsidR="008011D5">
        <w:t>,</w:t>
      </w:r>
      <w:r w:rsidR="00CB7069">
        <w:t>1</w:t>
      </w:r>
      <w:r w:rsidR="008011D5">
        <w:t xml:space="preserve">0 </w:t>
      </w:r>
      <w:proofErr w:type="spellStart"/>
      <w:r w:rsidR="008011D5">
        <w:t>MPa</w:t>
      </w:r>
      <w:proofErr w:type="spellEnd"/>
    </w:p>
    <w:p w14:paraId="452D0965" w14:textId="23F52A6D" w:rsidR="008011D5" w:rsidRDefault="00B02F9B" w:rsidP="008011D5">
      <w:r>
        <w:t>Maximální přetlak</w:t>
      </w:r>
      <w:r w:rsidR="008011D5">
        <w:t xml:space="preserve"> 1,</w:t>
      </w:r>
      <w:r w:rsidR="00CF1F53">
        <w:t>3</w:t>
      </w:r>
      <w:r w:rsidR="008011D5">
        <w:t xml:space="preserve"> </w:t>
      </w:r>
      <w:proofErr w:type="spellStart"/>
      <w:r w:rsidR="008011D5">
        <w:t>MPa</w:t>
      </w:r>
      <w:proofErr w:type="spellEnd"/>
    </w:p>
    <w:p w14:paraId="6BCE33D1" w14:textId="0F6965E7" w:rsidR="008011D5" w:rsidRDefault="00B02F9B" w:rsidP="008011D5">
      <w:r>
        <w:t>Minimální teplota</w:t>
      </w:r>
      <w:r w:rsidR="008011D5">
        <w:t xml:space="preserve"> 1</w:t>
      </w:r>
      <w:r w:rsidR="00CB7069">
        <w:t>90</w:t>
      </w:r>
      <w:r w:rsidR="008011D5">
        <w:t xml:space="preserve"> °C</w:t>
      </w:r>
    </w:p>
    <w:p w14:paraId="60A6C7BE" w14:textId="5976FB46" w:rsidR="008011D5" w:rsidRDefault="00B02F9B" w:rsidP="008011D5">
      <w:r>
        <w:t>Maximální teplota</w:t>
      </w:r>
      <w:r w:rsidR="008011D5">
        <w:t xml:space="preserve"> </w:t>
      </w:r>
      <w:r w:rsidR="007E5BC2" w:rsidRPr="007E5BC2">
        <w:rPr>
          <w:sz w:val="22"/>
        </w:rPr>
        <w:t>250</w:t>
      </w:r>
      <w:r w:rsidR="008011D5">
        <w:t xml:space="preserve"> °C</w:t>
      </w:r>
    </w:p>
    <w:p w14:paraId="7949B6BC" w14:textId="77777777" w:rsidR="00CB7069" w:rsidRDefault="00CB7069" w:rsidP="000D7B98"/>
    <w:p w14:paraId="094E59CF" w14:textId="7FB0DE43" w:rsidR="006C430F" w:rsidRPr="00E92847" w:rsidRDefault="006C430F" w:rsidP="00E92847">
      <w:pPr>
        <w:pStyle w:val="Nadpis3"/>
        <w:numPr>
          <w:ilvl w:val="0"/>
          <w:numId w:val="0"/>
        </w:numPr>
      </w:pPr>
      <w:bookmarkStart w:id="9" w:name="_Toc137789189"/>
      <w:proofErr w:type="gramStart"/>
      <w:r w:rsidRPr="00E92847">
        <w:lastRenderedPageBreak/>
        <w:t>6.3.  Požadavky</w:t>
      </w:r>
      <w:proofErr w:type="gramEnd"/>
      <w:r w:rsidRPr="00E92847">
        <w:t xml:space="preserve"> na připojení odběrného místa</w:t>
      </w:r>
      <w:bookmarkEnd w:id="9"/>
      <w:r w:rsidR="00C50768">
        <w:t xml:space="preserve"> </w:t>
      </w:r>
    </w:p>
    <w:p w14:paraId="1DD800A4" w14:textId="77777777" w:rsidR="006C430F" w:rsidRPr="00E92847" w:rsidRDefault="006C430F" w:rsidP="006C430F"/>
    <w:p w14:paraId="67C709BA" w14:textId="77777777" w:rsidR="006C430F" w:rsidRPr="00E92847" w:rsidRDefault="006C430F" w:rsidP="00726383">
      <w:pPr>
        <w:numPr>
          <w:ilvl w:val="0"/>
          <w:numId w:val="33"/>
        </w:numPr>
        <w:tabs>
          <w:tab w:val="clear" w:pos="1800"/>
          <w:tab w:val="num" w:pos="540"/>
          <w:tab w:val="left" w:pos="567"/>
        </w:tabs>
        <w:ind w:left="540" w:hanging="540"/>
        <w:jc w:val="both"/>
      </w:pPr>
      <w:r w:rsidRPr="00E92847">
        <w:t xml:space="preserve">Výstupní teplota primární vody z výměníku do vratné větve musí být </w:t>
      </w:r>
      <w:r w:rsidR="0049088C">
        <w:t xml:space="preserve">maximálně </w:t>
      </w:r>
      <w:smartTag w:uri="urn:schemas-microsoft-com:office:smarttags" w:element="metricconverter">
        <w:smartTagPr>
          <w:attr w:name="ProductID" w:val="70 ﾰC"/>
        </w:smartTagPr>
        <w:r w:rsidRPr="00E92847">
          <w:t>70 °C</w:t>
        </w:r>
      </w:smartTag>
      <w:r w:rsidRPr="00E92847">
        <w:t>.</w:t>
      </w:r>
    </w:p>
    <w:p w14:paraId="59CD24B3" w14:textId="77777777" w:rsidR="006C430F" w:rsidRPr="00E92847" w:rsidRDefault="006C430F" w:rsidP="00726383">
      <w:pPr>
        <w:numPr>
          <w:ilvl w:val="0"/>
          <w:numId w:val="33"/>
        </w:numPr>
        <w:tabs>
          <w:tab w:val="clear" w:pos="1800"/>
          <w:tab w:val="num" w:pos="540"/>
          <w:tab w:val="left" w:pos="567"/>
        </w:tabs>
        <w:ind w:left="540" w:hanging="540"/>
        <w:jc w:val="both"/>
      </w:pPr>
      <w:r w:rsidRPr="00E92847">
        <w:t xml:space="preserve">Pokud odběratel doplňuje upravenou horkou vodu do svého sekundárního okruhu z primárního rozvodu dodavatele, musí být v doplňovacím potrubí osazeno </w:t>
      </w:r>
      <w:r w:rsidR="000D7B98">
        <w:t xml:space="preserve">ověřené </w:t>
      </w:r>
      <w:r w:rsidRPr="00E92847">
        <w:t>měřidlo pro měření spotřeby vody.</w:t>
      </w:r>
      <w:r w:rsidR="000D7B98">
        <w:t xml:space="preserve"> Místo napojení doplňovacího potrubí určuje dodavatel.</w:t>
      </w:r>
    </w:p>
    <w:p w14:paraId="2E05C8BC" w14:textId="77777777" w:rsidR="006C430F" w:rsidRPr="00E92847" w:rsidRDefault="006C430F" w:rsidP="00726383">
      <w:pPr>
        <w:numPr>
          <w:ilvl w:val="0"/>
          <w:numId w:val="33"/>
        </w:numPr>
        <w:tabs>
          <w:tab w:val="clear" w:pos="1800"/>
          <w:tab w:val="num" w:pos="540"/>
          <w:tab w:val="left" w:pos="567"/>
        </w:tabs>
        <w:ind w:left="540" w:hanging="540"/>
        <w:jc w:val="both"/>
      </w:pPr>
      <w:r w:rsidRPr="00E92847">
        <w:t>Odběratelé se sjednaným výkonem větším než 500 kW mají povolenu maximální změnu rychlosti výkonu 50 kW za 10 min.</w:t>
      </w:r>
      <w:r w:rsidR="00644BC3">
        <w:t xml:space="preserve"> </w:t>
      </w:r>
      <w:r w:rsidR="000D7B98">
        <w:t xml:space="preserve">Odběratel je povinen prokázat, že jeho odběrné zařízení tuto podmínku splňuje.  </w:t>
      </w:r>
    </w:p>
    <w:p w14:paraId="2EF2A8BE" w14:textId="77777777" w:rsidR="006C430F" w:rsidRPr="00E92847" w:rsidRDefault="006C430F" w:rsidP="00726383">
      <w:pPr>
        <w:numPr>
          <w:ilvl w:val="0"/>
          <w:numId w:val="33"/>
        </w:numPr>
        <w:tabs>
          <w:tab w:val="clear" w:pos="1800"/>
          <w:tab w:val="num" w:pos="540"/>
          <w:tab w:val="left" w:pos="567"/>
        </w:tabs>
        <w:ind w:left="540" w:hanging="540"/>
        <w:jc w:val="both"/>
      </w:pPr>
      <w:r w:rsidRPr="00E92847">
        <w:t xml:space="preserve">Instalace zkratových propojek na </w:t>
      </w:r>
      <w:r w:rsidR="00DC1399">
        <w:t xml:space="preserve">horkovodní </w:t>
      </w:r>
      <w:r w:rsidRPr="00E92847">
        <w:t xml:space="preserve">tepelné přípojce není dovolena. </w:t>
      </w:r>
    </w:p>
    <w:p w14:paraId="6DF00E24" w14:textId="77777777" w:rsidR="00DC1399" w:rsidRDefault="006C430F" w:rsidP="00726383">
      <w:pPr>
        <w:numPr>
          <w:ilvl w:val="0"/>
          <w:numId w:val="33"/>
        </w:numPr>
        <w:tabs>
          <w:tab w:val="clear" w:pos="1800"/>
          <w:tab w:val="num" w:pos="540"/>
          <w:tab w:val="left" w:pos="567"/>
        </w:tabs>
        <w:ind w:left="540" w:hanging="540"/>
        <w:jc w:val="both"/>
      </w:pPr>
      <w:r w:rsidRPr="00E92847">
        <w:t>Tepelná přípojka začíná odbočením z rozvodného tepelného zařízení a končí vstupem do odběrného tepelného zařízení. Tato přípojka je v majetku a správě odběratele</w:t>
      </w:r>
      <w:r w:rsidR="000D7B98">
        <w:t>, pokud není ve smlouvě uvedeno jinak</w:t>
      </w:r>
      <w:r w:rsidRPr="00E92847">
        <w:t>. Tepelná přípojka je oddělena od rozvodného tepelného zařízení přehradní armaturou, kterou osadí, obsluhuje a udržuje dodavatel.</w:t>
      </w:r>
    </w:p>
    <w:p w14:paraId="2D5B6E8B" w14:textId="77777777" w:rsidR="00DC1399" w:rsidRDefault="00DC1399" w:rsidP="00726383">
      <w:pPr>
        <w:numPr>
          <w:ilvl w:val="0"/>
          <w:numId w:val="33"/>
        </w:numPr>
        <w:tabs>
          <w:tab w:val="clear" w:pos="1800"/>
          <w:tab w:val="num" w:pos="540"/>
          <w:tab w:val="left" w:pos="567"/>
        </w:tabs>
        <w:ind w:left="540" w:hanging="540"/>
        <w:jc w:val="both"/>
      </w:pPr>
      <w:r>
        <w:t xml:space="preserve">V případě návratu kondenzátu z parního tepelného spotřebiče </w:t>
      </w:r>
      <w:r w:rsidR="000D7B98">
        <w:t xml:space="preserve">odběratel dostupnými technickým zařízeními zajistí  aby nebyl kondenzát </w:t>
      </w:r>
      <w:r>
        <w:t>znečištěn mechanicky ani chemicky</w:t>
      </w:r>
      <w:r w:rsidR="000D7B98">
        <w:t xml:space="preserve">. </w:t>
      </w:r>
    </w:p>
    <w:p w14:paraId="27ACA0E4" w14:textId="77777777" w:rsidR="00C50768" w:rsidRPr="00E92847" w:rsidRDefault="00C50768" w:rsidP="00726383">
      <w:pPr>
        <w:numPr>
          <w:ilvl w:val="0"/>
          <w:numId w:val="33"/>
        </w:numPr>
        <w:tabs>
          <w:tab w:val="clear" w:pos="1800"/>
          <w:tab w:val="num" w:pos="540"/>
          <w:tab w:val="left" w:pos="567"/>
        </w:tabs>
        <w:ind w:left="540" w:hanging="540"/>
        <w:jc w:val="both"/>
      </w:pPr>
      <w:r>
        <w:t xml:space="preserve">V případě připojení tepelného zdroje do tepelné soustavy nesmí tento zdroj, resp. jeho parametry, nijak narušovat provoz soustavy. Parametry zdroje a teplonosného média musí být zvoleny tak, aby v žádném provozním režimu zdroje či soustavy nedošlo k narušení jejího provozu. </w:t>
      </w:r>
    </w:p>
    <w:p w14:paraId="24A50EDD" w14:textId="1D30F46F" w:rsidR="006C430F" w:rsidRDefault="006C430F" w:rsidP="006C430F">
      <w:pPr>
        <w:pStyle w:val="Zpat"/>
        <w:tabs>
          <w:tab w:val="clear" w:pos="4536"/>
          <w:tab w:val="clear" w:pos="9072"/>
        </w:tabs>
        <w:rPr>
          <w:highlight w:val="red"/>
        </w:rPr>
      </w:pPr>
    </w:p>
    <w:p w14:paraId="6B380B6D" w14:textId="77777777" w:rsidR="006C430F" w:rsidRPr="00440763" w:rsidRDefault="006C430F" w:rsidP="00724F84">
      <w:pPr>
        <w:pStyle w:val="Nadpis3"/>
        <w:numPr>
          <w:ilvl w:val="0"/>
          <w:numId w:val="0"/>
        </w:numPr>
      </w:pPr>
      <w:bookmarkStart w:id="10" w:name="_Toc137789190"/>
      <w:proofErr w:type="gramStart"/>
      <w:r w:rsidRPr="00440763">
        <w:t>6.4.  Všeobecné</w:t>
      </w:r>
      <w:proofErr w:type="gramEnd"/>
      <w:r w:rsidRPr="00440763">
        <w:t xml:space="preserve"> požadavky na projektovou dokumentaci</w:t>
      </w:r>
      <w:bookmarkEnd w:id="10"/>
    </w:p>
    <w:p w14:paraId="601B37F3" w14:textId="77777777" w:rsidR="006C430F" w:rsidRPr="00440763" w:rsidRDefault="006C430F" w:rsidP="006C430F">
      <w:pPr>
        <w:pStyle w:val="Zkladntext"/>
        <w:ind w:leftChars="118" w:left="284" w:hanging="1"/>
        <w:jc w:val="both"/>
        <w:rPr>
          <w:sz w:val="24"/>
          <w:szCs w:val="24"/>
        </w:rPr>
      </w:pPr>
    </w:p>
    <w:p w14:paraId="0F3E6017" w14:textId="77777777" w:rsidR="006C430F" w:rsidRPr="00440763" w:rsidRDefault="006C430F" w:rsidP="000D7B98">
      <w:pPr>
        <w:tabs>
          <w:tab w:val="left" w:pos="0"/>
        </w:tabs>
        <w:jc w:val="both"/>
      </w:pPr>
      <w:r w:rsidRPr="00440763">
        <w:t>Veškerá připojení nových tepelných zařízení k</w:t>
      </w:r>
      <w:r w:rsidR="00CF4F51">
        <w:t xml:space="preserve"> soustavám centrálního zásobování teplem </w:t>
      </w:r>
      <w:r w:rsidRPr="00440763">
        <w:t>nebo jejich rekonstrukce budou realizována podle prováděcí projektové dokumentace.</w:t>
      </w:r>
    </w:p>
    <w:p w14:paraId="66F8FAAA" w14:textId="77777777" w:rsidR="006C430F" w:rsidRPr="00645590" w:rsidRDefault="006C430F" w:rsidP="000D7B98">
      <w:pPr>
        <w:tabs>
          <w:tab w:val="left" w:pos="720"/>
        </w:tabs>
        <w:ind w:left="720" w:hanging="720"/>
        <w:jc w:val="both"/>
        <w:rPr>
          <w:highlight w:val="red"/>
        </w:rPr>
      </w:pPr>
      <w:r w:rsidRPr="00645590">
        <w:rPr>
          <w:highlight w:val="red"/>
        </w:rPr>
        <w:t xml:space="preserve"> </w:t>
      </w:r>
    </w:p>
    <w:p w14:paraId="78B54151" w14:textId="77777777" w:rsidR="006C430F" w:rsidRPr="00440763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Projekt zařízení k odběru tepelné energie bude zpracován oprávněnou osobu.</w:t>
      </w:r>
    </w:p>
    <w:p w14:paraId="5C97C067" w14:textId="022C34C4" w:rsidR="006C430F" w:rsidRPr="00440763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Koncept projektu předloží odběratel k odsouhlasení dodavateli tepelné energie. Veškeré projektové podklady dotýkající se zařízení dodavatele, budou předány v písemné a</w:t>
      </w:r>
      <w:r w:rsidR="00923AB5">
        <w:t> </w:t>
      </w:r>
      <w:r w:rsidRPr="00440763">
        <w:t xml:space="preserve">elektronické formě (formát </w:t>
      </w:r>
      <w:proofErr w:type="spellStart"/>
      <w:r w:rsidRPr="00440763">
        <w:t>AutoCAD</w:t>
      </w:r>
      <w:proofErr w:type="spellEnd"/>
      <w:proofErr w:type="gramStart"/>
      <w:r w:rsidR="00CF4F51">
        <w:t>,</w:t>
      </w:r>
      <w:r w:rsidRPr="00440763">
        <w:t xml:space="preserve"> </w:t>
      </w:r>
      <w:r w:rsidR="000D7B98">
        <w:t>,</w:t>
      </w:r>
      <w:proofErr w:type="gramEnd"/>
      <w:r w:rsidRPr="00440763">
        <w:t xml:space="preserve"> MS Office</w:t>
      </w:r>
      <w:r w:rsidR="000D7B98">
        <w:t>, nebo jiný dodavatelem předem odsouhlasený formát</w:t>
      </w:r>
      <w:r w:rsidRPr="00440763">
        <w:t>). Vyžaduje-li dodavatel tepelné energie předložení projektové dokumentace na vlastní tepelné odběrné zařízení za předávací stanicí (tj. potrubní rozvody v areálu odběratele, situační plány a schéma zapojení otopných těles, technologické zařízení vyžadující dodávku tepelné energie atp.) je odběratel povinen mu tuto dokumentaci předložit k nahlédnutí.</w:t>
      </w:r>
    </w:p>
    <w:p w14:paraId="44BD128C" w14:textId="77777777" w:rsidR="006C430F" w:rsidRPr="00440763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Po úplném dokončení dokumentace předloží odběratel dodavateli tento projekt ke konečnému schválení.</w:t>
      </w:r>
    </w:p>
    <w:p w14:paraId="247D6A9D" w14:textId="77777777" w:rsidR="006C430F" w:rsidRPr="00440763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V případě nesplnění požadavků dodavatele tepelné energie při vypracování projektu, má dodavatel tepelné energie právo od prodeje tepelné energie ustoupit bez nároků odběratele na úhradu škody tímto postupem vzniklé.</w:t>
      </w:r>
    </w:p>
    <w:p w14:paraId="7A6FD622" w14:textId="77777777" w:rsidR="006C430F" w:rsidRPr="00440763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Potrubní rozvody budou provedeny z oceli třídy 11 nebo třídy 12.</w:t>
      </w:r>
    </w:p>
    <w:p w14:paraId="2F76D309" w14:textId="77777777" w:rsidR="006C430F" w:rsidRPr="00440763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Všechny armatury budou přístupné pro běžnou manipulaci.</w:t>
      </w:r>
    </w:p>
    <w:p w14:paraId="7C8ABD55" w14:textId="77777777" w:rsidR="006C430F" w:rsidRPr="00440763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Na odbočce bude osazen uzávěr a nainstalovány vypouštěcí armatury vždy v nejnižším bodě a odvzdušňovací armatury vždy v nejvyšším bodě.</w:t>
      </w:r>
    </w:p>
    <w:p w14:paraId="718E6781" w14:textId="77777777" w:rsidR="006C430F" w:rsidRPr="00440763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Izolace budou provedeny v souladu s vyhláškou MPO č.194/2007 Sb., kterou se stanoví podrobnosti užití energie při rozvodu tepelné energie a vnitřních rozvodů tepelné energie.</w:t>
      </w:r>
    </w:p>
    <w:p w14:paraId="7F25A2FD" w14:textId="77777777" w:rsidR="006C430F" w:rsidRPr="00440763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Pro hydraulické vyvážení odběrů tepelné energie bude použita kvantitativní regulace.</w:t>
      </w:r>
    </w:p>
    <w:p w14:paraId="61EAD019" w14:textId="77777777" w:rsidR="006C430F" w:rsidRDefault="006C430F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 w:rsidRPr="00440763">
        <w:t>Veškeré odběry tepelné energie osadí dodavatel měřidly. Typ měřidla a způsob zapojení určí dodavatel tepelné energie.</w:t>
      </w:r>
    </w:p>
    <w:p w14:paraId="083E4998" w14:textId="590B81EE" w:rsidR="00C50768" w:rsidRPr="00440763" w:rsidRDefault="00C50768" w:rsidP="000D7B98">
      <w:pPr>
        <w:numPr>
          <w:ilvl w:val="0"/>
          <w:numId w:val="36"/>
        </w:numPr>
        <w:tabs>
          <w:tab w:val="clear" w:pos="1800"/>
          <w:tab w:val="left" w:pos="540"/>
        </w:tabs>
        <w:ind w:left="540" w:hanging="540"/>
        <w:jc w:val="both"/>
      </w:pPr>
      <w:r>
        <w:lastRenderedPageBreak/>
        <w:t xml:space="preserve">V případě připojení tepelného zdroje do </w:t>
      </w:r>
      <w:r w:rsidR="00A86E55">
        <w:t xml:space="preserve">soustavy centrálního zásobování teplem </w:t>
      </w:r>
      <w:r>
        <w:t xml:space="preserve">je </w:t>
      </w:r>
      <w:r w:rsidR="000D7B98">
        <w:t>odběratel (</w:t>
      </w:r>
      <w:r>
        <w:t>provozovatel</w:t>
      </w:r>
      <w:r w:rsidR="000D7B98">
        <w:t xml:space="preserve"> zařízení)</w:t>
      </w:r>
      <w:r>
        <w:t xml:space="preserve"> před jeho připojením povinen </w:t>
      </w:r>
      <w:r w:rsidR="0067667E">
        <w:t>TZ</w:t>
      </w:r>
      <w:r w:rsidR="00F91B40">
        <w:t xml:space="preserve"> </w:t>
      </w:r>
      <w:r>
        <w:t xml:space="preserve">předložit příslušnou technickou dokumentaci připojovaného zdroje včetně specifikace parametrů v místě připojení ve všech provozních režimech a patřičných výpočtů a dalších dokladů potvrzujících, že připojením tohoto zdroje nedojde k narušení chodu </w:t>
      </w:r>
      <w:r w:rsidR="001B2533">
        <w:t>soustavy centrálního zásobování teplem</w:t>
      </w:r>
      <w:r>
        <w:t>.</w:t>
      </w:r>
    </w:p>
    <w:p w14:paraId="5899FF05" w14:textId="77777777" w:rsidR="006C430F" w:rsidRPr="00645590" w:rsidRDefault="006C430F" w:rsidP="006C430F">
      <w:pPr>
        <w:pStyle w:val="Zkladntext"/>
        <w:ind w:leftChars="118" w:left="284" w:hanging="1"/>
        <w:jc w:val="both"/>
        <w:rPr>
          <w:sz w:val="24"/>
          <w:szCs w:val="24"/>
          <w:highlight w:val="red"/>
        </w:rPr>
      </w:pPr>
    </w:p>
    <w:p w14:paraId="26D94280" w14:textId="77777777" w:rsidR="006C430F" w:rsidRPr="00544502" w:rsidRDefault="006C430F" w:rsidP="00724F84">
      <w:pPr>
        <w:pStyle w:val="Nadpis3"/>
        <w:numPr>
          <w:ilvl w:val="0"/>
          <w:numId w:val="0"/>
        </w:numPr>
      </w:pPr>
      <w:bookmarkStart w:id="11" w:name="_Toc137789191"/>
      <w:r w:rsidRPr="00544502">
        <w:t>6.5.  Podmínky pro provoz a údržbu připojených zařízení</w:t>
      </w:r>
      <w:bookmarkEnd w:id="11"/>
    </w:p>
    <w:p w14:paraId="77D9009D" w14:textId="77777777" w:rsidR="006C430F" w:rsidRPr="00544502" w:rsidRDefault="006C430F" w:rsidP="006C430F">
      <w:pPr>
        <w:pStyle w:val="Zkladntext"/>
        <w:ind w:leftChars="118" w:left="284" w:hanging="1"/>
        <w:jc w:val="both"/>
        <w:rPr>
          <w:sz w:val="24"/>
          <w:szCs w:val="24"/>
        </w:rPr>
      </w:pPr>
      <w:r w:rsidRPr="00544502">
        <w:rPr>
          <w:sz w:val="24"/>
          <w:szCs w:val="24"/>
        </w:rPr>
        <w:t xml:space="preserve"> </w:t>
      </w:r>
      <w:r w:rsidRPr="00544502">
        <w:rPr>
          <w:sz w:val="24"/>
          <w:szCs w:val="24"/>
        </w:rPr>
        <w:tab/>
        <w:t xml:space="preserve"> </w:t>
      </w:r>
    </w:p>
    <w:p w14:paraId="2F871AC6" w14:textId="6BFC3405" w:rsidR="006C430F" w:rsidRPr="00544502" w:rsidRDefault="006C430F" w:rsidP="006C430F">
      <w:r w:rsidRPr="00544502">
        <w:t>Veškerá zařízení připojená k</w:t>
      </w:r>
      <w:r w:rsidR="00A86E55">
        <w:t xml:space="preserve"> soustavám centrálního zásobování teplem </w:t>
      </w:r>
      <w:r w:rsidRPr="00544502">
        <w:t xml:space="preserve">budou obsluhována pracovníky s potřebnou kvalifikací. </w:t>
      </w:r>
    </w:p>
    <w:p w14:paraId="6D1AEA81" w14:textId="77777777" w:rsidR="006C430F" w:rsidRPr="00544502" w:rsidRDefault="006C430F" w:rsidP="006C430F">
      <w:r w:rsidRPr="00544502">
        <w:t>Provozovatel předávací stanice musí zajistit:</w:t>
      </w:r>
    </w:p>
    <w:p w14:paraId="3CA34921" w14:textId="77777777" w:rsidR="006C430F" w:rsidRPr="00544502" w:rsidRDefault="006C430F" w:rsidP="00544502">
      <w:pPr>
        <w:numPr>
          <w:ilvl w:val="0"/>
          <w:numId w:val="28"/>
        </w:numPr>
        <w:tabs>
          <w:tab w:val="clear" w:pos="1080"/>
          <w:tab w:val="num" w:pos="540"/>
        </w:tabs>
        <w:ind w:left="540" w:hanging="540"/>
      </w:pPr>
      <w:r w:rsidRPr="00544502">
        <w:t>Školení pro pracovníky obsluhy ve smyslu ČSN 690012 tam, kde jsou provozovány tlakové nádoby stabilní</w:t>
      </w:r>
      <w:r w:rsidR="00DC1399">
        <w:t xml:space="preserve"> </w:t>
      </w:r>
      <w:r w:rsidRPr="00544502">
        <w:t>(dále pouze TNS) čl. 3 přílohy nejméně 1 x za 3 roky.</w:t>
      </w:r>
    </w:p>
    <w:p w14:paraId="5F3950FA" w14:textId="77777777" w:rsidR="006C430F" w:rsidRPr="00544502" w:rsidRDefault="006C430F" w:rsidP="00544502">
      <w:pPr>
        <w:numPr>
          <w:ilvl w:val="0"/>
          <w:numId w:val="28"/>
        </w:numPr>
        <w:tabs>
          <w:tab w:val="clear" w:pos="1080"/>
          <w:tab w:val="num" w:pos="540"/>
        </w:tabs>
        <w:ind w:left="540" w:hanging="540"/>
      </w:pPr>
      <w:r w:rsidRPr="00544502">
        <w:t xml:space="preserve">Školení a přezkoušení obsluh ze znalostí ČSN </w:t>
      </w:r>
      <w:smartTag w:uri="urn:schemas-microsoft-com:office:smarttags" w:element="metricconverter">
        <w:smartTagPr>
          <w:attr w:name="ProductID" w:val="130108 a"/>
        </w:smartTagPr>
        <w:r w:rsidRPr="00544502">
          <w:t>130108 a</w:t>
        </w:r>
      </w:smartTag>
      <w:r w:rsidRPr="00544502">
        <w:t xml:space="preserve"> místních provozních předpisů</w:t>
      </w:r>
      <w:r w:rsidR="00DC1399">
        <w:t xml:space="preserve"> </w:t>
      </w:r>
      <w:r w:rsidRPr="00544502">
        <w:t>(dále pouze MPP) pro provoz potrubí nejméně 1 x za 2 roky.</w:t>
      </w:r>
    </w:p>
    <w:p w14:paraId="34E4666E" w14:textId="77777777" w:rsidR="006C430F" w:rsidRPr="00544502" w:rsidRDefault="006C430F" w:rsidP="00544502">
      <w:pPr>
        <w:numPr>
          <w:ilvl w:val="0"/>
          <w:numId w:val="28"/>
        </w:numPr>
        <w:tabs>
          <w:tab w:val="clear" w:pos="1080"/>
          <w:tab w:val="num" w:pos="540"/>
        </w:tabs>
        <w:ind w:left="540" w:hanging="540"/>
      </w:pPr>
      <w:r w:rsidRPr="00544502">
        <w:t>Školení obsluh dle vyhlášky 50/78 Sb. § 4.</w:t>
      </w:r>
    </w:p>
    <w:p w14:paraId="0EC61026" w14:textId="77777777" w:rsidR="006C430F" w:rsidRPr="00645590" w:rsidRDefault="006C430F" w:rsidP="006C430F">
      <w:pPr>
        <w:rPr>
          <w:highlight w:val="red"/>
        </w:rPr>
      </w:pPr>
    </w:p>
    <w:p w14:paraId="5F664683" w14:textId="77777777" w:rsidR="006C430F" w:rsidRPr="00544502" w:rsidRDefault="006C430F" w:rsidP="006C430F">
      <w:pPr>
        <w:rPr>
          <w:b/>
        </w:rPr>
      </w:pPr>
      <w:r w:rsidRPr="00544502">
        <w:t xml:space="preserve">Povinností provozovatele je vypracování </w:t>
      </w:r>
      <w:r w:rsidR="000D7B98">
        <w:t>m</w:t>
      </w:r>
      <w:r w:rsidRPr="00544502">
        <w:t>ístního provozního předpisu (MPP). Součástí tohoto předpisu musí být zejména</w:t>
      </w:r>
      <w:r w:rsidRPr="00544502">
        <w:rPr>
          <w:b/>
        </w:rPr>
        <w:t>:</w:t>
      </w:r>
    </w:p>
    <w:p w14:paraId="71ABFF15" w14:textId="77777777" w:rsidR="006C430F" w:rsidRPr="00544502" w:rsidRDefault="006C430F" w:rsidP="006C430F">
      <w:pPr>
        <w:rPr>
          <w:b/>
        </w:rPr>
      </w:pPr>
    </w:p>
    <w:p w14:paraId="6E65AD41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Podrobný návod k obsluze včetně postupů najetí a odstavení v souladu s připojovacími pravidly dodavatele.</w:t>
      </w:r>
    </w:p>
    <w:p w14:paraId="4DB494B8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Důležitá telefonní čísla.</w:t>
      </w:r>
    </w:p>
    <w:p w14:paraId="23BA254C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Určení osob oprávněných ke vstupu.</w:t>
      </w:r>
    </w:p>
    <w:p w14:paraId="37358EE8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Povinnosti provozovatele.</w:t>
      </w:r>
    </w:p>
    <w:p w14:paraId="1CB819E6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Povinnosti odpovědného technika.</w:t>
      </w:r>
    </w:p>
    <w:p w14:paraId="5DC64832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Povinnosti obsluhy.</w:t>
      </w:r>
    </w:p>
    <w:p w14:paraId="1ACC967C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Povinnosti pracovníků údržby.</w:t>
      </w:r>
    </w:p>
    <w:p w14:paraId="35B5D13D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Způsob vedení provozní dokumentace.</w:t>
      </w:r>
    </w:p>
    <w:p w14:paraId="1B28E1DC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Hlášení závad.</w:t>
      </w:r>
    </w:p>
    <w:p w14:paraId="0A6D8074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Postupy při opravách zařízení.</w:t>
      </w:r>
    </w:p>
    <w:p w14:paraId="25E59937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Postupy údržby.</w:t>
      </w:r>
    </w:p>
    <w:p w14:paraId="743399DC" w14:textId="77777777" w:rsidR="006C430F" w:rsidRPr="00544502" w:rsidRDefault="006C430F" w:rsidP="00544502">
      <w:pPr>
        <w:numPr>
          <w:ilvl w:val="0"/>
          <w:numId w:val="30"/>
        </w:numPr>
        <w:tabs>
          <w:tab w:val="clear" w:pos="1080"/>
          <w:tab w:val="num" w:pos="540"/>
        </w:tabs>
        <w:ind w:left="540" w:hanging="540"/>
      </w:pPr>
      <w:r w:rsidRPr="00544502">
        <w:t>Způsoby a četnost kontroly.</w:t>
      </w:r>
    </w:p>
    <w:p w14:paraId="7AA286AD" w14:textId="77777777" w:rsidR="006C430F" w:rsidRPr="00544502" w:rsidRDefault="006C430F" w:rsidP="006C430F">
      <w:pPr>
        <w:pStyle w:val="Zkladntext"/>
      </w:pPr>
    </w:p>
    <w:p w14:paraId="4815A17E" w14:textId="77777777" w:rsidR="006C430F" w:rsidRPr="00544502" w:rsidRDefault="006C430F" w:rsidP="006C430F">
      <w:r w:rsidRPr="00544502">
        <w:t>Provozovatel musí zajistit odpovědným technikem kontroly ve smyslu MPP pro provoz zařízení nejméně 1x za 6 měsíců.</w:t>
      </w:r>
    </w:p>
    <w:p w14:paraId="00E1485A" w14:textId="77777777" w:rsidR="006C430F" w:rsidRPr="00645590" w:rsidRDefault="006C430F" w:rsidP="006C430F">
      <w:pPr>
        <w:rPr>
          <w:highlight w:val="red"/>
        </w:rPr>
      </w:pPr>
    </w:p>
    <w:p w14:paraId="5DA1558C" w14:textId="77777777" w:rsidR="006C430F" w:rsidRDefault="006C430F" w:rsidP="00446EB7">
      <w:pPr>
        <w:rPr>
          <w:b/>
        </w:rPr>
      </w:pPr>
      <w:r w:rsidRPr="00544502">
        <w:rPr>
          <w:b/>
        </w:rPr>
        <w:t>Opravy a údržba zařízení:</w:t>
      </w:r>
    </w:p>
    <w:p w14:paraId="115BC630" w14:textId="77777777" w:rsidR="00544502" w:rsidRPr="00544502" w:rsidRDefault="00544502" w:rsidP="00446EB7">
      <w:pPr>
        <w:rPr>
          <w:b/>
        </w:rPr>
      </w:pPr>
    </w:p>
    <w:p w14:paraId="08CED4B7" w14:textId="77777777" w:rsidR="006C430F" w:rsidRPr="00544502" w:rsidRDefault="006C430F" w:rsidP="00A86E55">
      <w:pPr>
        <w:numPr>
          <w:ilvl w:val="0"/>
          <w:numId w:val="29"/>
        </w:numPr>
        <w:tabs>
          <w:tab w:val="clear" w:pos="1080"/>
          <w:tab w:val="num" w:pos="540"/>
        </w:tabs>
        <w:ind w:left="540" w:hanging="540"/>
        <w:jc w:val="both"/>
      </w:pPr>
      <w:r w:rsidRPr="00544502">
        <w:t>Odběratel je povinen oznámit dodavateli zásah do potrubí, při kterém dojde k vypuštění topného media.</w:t>
      </w:r>
    </w:p>
    <w:p w14:paraId="01C32994" w14:textId="77777777" w:rsidR="006C430F" w:rsidRPr="00544502" w:rsidRDefault="006C430F" w:rsidP="00A86E55">
      <w:pPr>
        <w:numPr>
          <w:ilvl w:val="0"/>
          <w:numId w:val="29"/>
        </w:numPr>
        <w:tabs>
          <w:tab w:val="clear" w:pos="1080"/>
          <w:tab w:val="num" w:pos="540"/>
        </w:tabs>
        <w:ind w:left="540" w:hanging="540"/>
        <w:jc w:val="both"/>
      </w:pPr>
      <w:r w:rsidRPr="00544502">
        <w:t>Odběratel je povinen oznámit dodavateli zvýšený odběr topné vody při napouštění sekundárního okruhu</w:t>
      </w:r>
    </w:p>
    <w:p w14:paraId="371ED5FA" w14:textId="77777777" w:rsidR="00A86E55" w:rsidRDefault="006C430F" w:rsidP="00A86E55">
      <w:pPr>
        <w:numPr>
          <w:ilvl w:val="0"/>
          <w:numId w:val="29"/>
        </w:numPr>
        <w:tabs>
          <w:tab w:val="clear" w:pos="1080"/>
          <w:tab w:val="num" w:pos="540"/>
        </w:tabs>
        <w:ind w:left="540" w:hanging="540"/>
        <w:jc w:val="both"/>
      </w:pPr>
      <w:r w:rsidRPr="00544502">
        <w:t>V případě prací prováděných na zařízení napojených na tepelné přípojce odběratele požaduje dodavatel včasné nahlášení minimálně 3 dny před odstavením. Při porušení výše uvedeného ustanovení může dodavatel tepelné energie na odběrateli požadovat úhradu jemu vzniklé ztráty.</w:t>
      </w:r>
    </w:p>
    <w:p w14:paraId="3503AF0A" w14:textId="11FC53EB" w:rsidR="006C430F" w:rsidRDefault="006C430F" w:rsidP="00A86E55">
      <w:pPr>
        <w:numPr>
          <w:ilvl w:val="0"/>
          <w:numId w:val="29"/>
        </w:numPr>
        <w:tabs>
          <w:tab w:val="clear" w:pos="1080"/>
          <w:tab w:val="num" w:pos="540"/>
        </w:tabs>
        <w:ind w:left="540" w:hanging="540"/>
        <w:jc w:val="both"/>
      </w:pPr>
      <w:r w:rsidRPr="00544502">
        <w:lastRenderedPageBreak/>
        <w:t>Opravy na zařízení a potrubí smí provádět pouze oprávněná firma ve smyslu vyhlášky 18/79 Sb. ČÚBP</w:t>
      </w:r>
    </w:p>
    <w:p w14:paraId="258BABE6" w14:textId="77777777" w:rsidR="00346B2E" w:rsidRDefault="00346B2E" w:rsidP="00346B2E">
      <w:pPr>
        <w:numPr>
          <w:ilvl w:val="0"/>
          <w:numId w:val="29"/>
        </w:numPr>
        <w:tabs>
          <w:tab w:val="clear" w:pos="1080"/>
        </w:tabs>
        <w:ind w:left="567" w:hanging="567"/>
        <w:jc w:val="both"/>
      </w:pPr>
      <w:r>
        <w:t>Uzavření přípojky horké vody na primární straně z důvodu poruchy, provádění oprav nebo na požadavek odběratele je možné:</w:t>
      </w:r>
    </w:p>
    <w:p w14:paraId="7B069326" w14:textId="77777777" w:rsidR="00346B2E" w:rsidRDefault="00346B2E" w:rsidP="00346B2E">
      <w:pPr>
        <w:ind w:firstLine="567"/>
        <w:jc w:val="both"/>
      </w:pPr>
      <w:r>
        <w:t xml:space="preserve">V případě poruchy – po telefonickém oznámení na havarijní službu dodavatele </w:t>
      </w:r>
    </w:p>
    <w:p w14:paraId="7A4E5C4F" w14:textId="542B538C" w:rsidR="00346B2E" w:rsidRDefault="00346B2E" w:rsidP="00346B2E">
      <w:pPr>
        <w:ind w:firstLine="567"/>
        <w:jc w:val="both"/>
      </w:pPr>
      <w:r>
        <w:t>+420 606 712 780, +420 577 522 201</w:t>
      </w:r>
    </w:p>
    <w:p w14:paraId="2B384706" w14:textId="77777777" w:rsidR="00346B2E" w:rsidRDefault="00346B2E" w:rsidP="00346B2E">
      <w:pPr>
        <w:ind w:left="567"/>
        <w:jc w:val="both"/>
      </w:pPr>
      <w:r>
        <w:t>Na písemné vyžádání odběratele doručené na adresu dodavatele minimálně 3 dny před požadovaným odstavením.</w:t>
      </w:r>
    </w:p>
    <w:p w14:paraId="182C1AC4" w14:textId="1DE4A856" w:rsidR="00346B2E" w:rsidRDefault="00346B2E" w:rsidP="00346B2E">
      <w:pPr>
        <w:ind w:left="540"/>
        <w:jc w:val="both"/>
      </w:pPr>
    </w:p>
    <w:p w14:paraId="53117AF6" w14:textId="77777777" w:rsidR="00346B2E" w:rsidRPr="00E92847" w:rsidRDefault="00346B2E" w:rsidP="00346B2E">
      <w:pPr>
        <w:ind w:left="567"/>
        <w:jc w:val="both"/>
      </w:pPr>
      <w:r w:rsidRPr="00E92847">
        <w:t>Odstavení tepelné přípojky provádí výhradně pracovníci dodavatele, odběratel nesmí zasahovat d</w:t>
      </w:r>
      <w:r>
        <w:t>o</w:t>
      </w:r>
      <w:r w:rsidRPr="00E92847">
        <w:t xml:space="preserve"> primárních rozvodů dodavatele.</w:t>
      </w:r>
    </w:p>
    <w:p w14:paraId="0585A7A3" w14:textId="77777777" w:rsidR="00346B2E" w:rsidRPr="00645590" w:rsidRDefault="00346B2E" w:rsidP="00A86E55">
      <w:pPr>
        <w:pStyle w:val="Zkladntext"/>
        <w:jc w:val="both"/>
        <w:rPr>
          <w:highlight w:val="red"/>
        </w:rPr>
      </w:pPr>
    </w:p>
    <w:p w14:paraId="6758C13C" w14:textId="77777777" w:rsidR="006C430F" w:rsidRPr="00544502" w:rsidRDefault="006C430F" w:rsidP="00A86E55">
      <w:pPr>
        <w:jc w:val="both"/>
        <w:rPr>
          <w:b/>
        </w:rPr>
      </w:pPr>
      <w:r w:rsidRPr="00544502">
        <w:rPr>
          <w:b/>
        </w:rPr>
        <w:t>Před uvedením do provozu požaduje dodavatel předat:</w:t>
      </w:r>
    </w:p>
    <w:p w14:paraId="52FA1501" w14:textId="77777777" w:rsidR="006C430F" w:rsidRPr="00544502" w:rsidRDefault="006C430F" w:rsidP="00A86E55">
      <w:pPr>
        <w:jc w:val="both"/>
        <w:rPr>
          <w:b/>
        </w:rPr>
      </w:pPr>
    </w:p>
    <w:p w14:paraId="5F04AB04" w14:textId="77777777" w:rsidR="006C430F" w:rsidRPr="00544502" w:rsidRDefault="006C430F" w:rsidP="00A86E55">
      <w:pPr>
        <w:numPr>
          <w:ilvl w:val="0"/>
          <w:numId w:val="31"/>
        </w:numPr>
        <w:tabs>
          <w:tab w:val="clear" w:pos="1800"/>
          <w:tab w:val="num" w:pos="540"/>
        </w:tabs>
        <w:ind w:left="540" w:hanging="540"/>
        <w:jc w:val="both"/>
      </w:pPr>
      <w:r w:rsidRPr="00544502">
        <w:t>Protokol o tlakové zkoušce horkovodu</w:t>
      </w:r>
      <w:r w:rsidR="00DC1399">
        <w:t xml:space="preserve"> či parovodu</w:t>
      </w:r>
      <w:r w:rsidRPr="00544502">
        <w:t>.</w:t>
      </w:r>
    </w:p>
    <w:p w14:paraId="5121A89F" w14:textId="77777777" w:rsidR="006C430F" w:rsidRPr="00544502" w:rsidRDefault="006C430F" w:rsidP="00A86E55">
      <w:pPr>
        <w:numPr>
          <w:ilvl w:val="0"/>
          <w:numId w:val="31"/>
        </w:numPr>
        <w:tabs>
          <w:tab w:val="clear" w:pos="1800"/>
          <w:tab w:val="num" w:pos="540"/>
        </w:tabs>
        <w:ind w:left="540" w:hanging="540"/>
        <w:jc w:val="both"/>
      </w:pPr>
      <w:r w:rsidRPr="00544502">
        <w:t>Výchozí revizní zprávu tlakových nádob stabilních.</w:t>
      </w:r>
    </w:p>
    <w:p w14:paraId="134EB262" w14:textId="77777777" w:rsidR="006C430F" w:rsidRPr="00544502" w:rsidRDefault="006C430F" w:rsidP="00A86E55">
      <w:pPr>
        <w:numPr>
          <w:ilvl w:val="0"/>
          <w:numId w:val="31"/>
        </w:numPr>
        <w:tabs>
          <w:tab w:val="clear" w:pos="1800"/>
          <w:tab w:val="num" w:pos="540"/>
        </w:tabs>
        <w:ind w:left="540" w:hanging="540"/>
        <w:jc w:val="both"/>
      </w:pPr>
      <w:r w:rsidRPr="00544502">
        <w:t>Výchozí revizní zprávu elektro.</w:t>
      </w:r>
    </w:p>
    <w:p w14:paraId="4D1E0C2D" w14:textId="77777777" w:rsidR="006C430F" w:rsidRPr="00544502" w:rsidRDefault="006C430F" w:rsidP="00A86E55">
      <w:pPr>
        <w:numPr>
          <w:ilvl w:val="0"/>
          <w:numId w:val="31"/>
        </w:numPr>
        <w:tabs>
          <w:tab w:val="clear" w:pos="1800"/>
          <w:tab w:val="num" w:pos="540"/>
        </w:tabs>
        <w:ind w:left="540" w:hanging="540"/>
        <w:jc w:val="both"/>
      </w:pPr>
      <w:r w:rsidRPr="00544502">
        <w:t>Dokumentaci skutečného provedení stavby horkovodu</w:t>
      </w:r>
      <w:r w:rsidR="00DC1399">
        <w:t xml:space="preserve"> či parovodu</w:t>
      </w:r>
      <w:r w:rsidRPr="00544502">
        <w:t>.</w:t>
      </w:r>
    </w:p>
    <w:p w14:paraId="14C60B7E" w14:textId="77777777" w:rsidR="006C430F" w:rsidRPr="00544502" w:rsidRDefault="006C430F" w:rsidP="00A86E55">
      <w:pPr>
        <w:numPr>
          <w:ilvl w:val="0"/>
          <w:numId w:val="31"/>
        </w:numPr>
        <w:tabs>
          <w:tab w:val="clear" w:pos="1800"/>
          <w:tab w:val="num" w:pos="540"/>
        </w:tabs>
        <w:ind w:left="540" w:hanging="540"/>
        <w:jc w:val="both"/>
      </w:pPr>
      <w:r w:rsidRPr="00544502">
        <w:t>Kopii</w:t>
      </w:r>
      <w:r w:rsidR="009105AC">
        <w:t xml:space="preserve"> </w:t>
      </w:r>
      <w:r w:rsidR="000D7B98">
        <w:t>MPP</w:t>
      </w:r>
      <w:r w:rsidRPr="00544502">
        <w:t>.</w:t>
      </w:r>
    </w:p>
    <w:p w14:paraId="0CB39EE4" w14:textId="77777777" w:rsidR="006C430F" w:rsidRPr="00544502" w:rsidRDefault="006C430F" w:rsidP="00A86E55">
      <w:pPr>
        <w:jc w:val="both"/>
      </w:pPr>
    </w:p>
    <w:p w14:paraId="61E35A8E" w14:textId="77777777" w:rsidR="006C430F" w:rsidRPr="00544502" w:rsidRDefault="006C430F" w:rsidP="00A86E55">
      <w:pPr>
        <w:jc w:val="both"/>
      </w:pPr>
      <w:r w:rsidRPr="00544502">
        <w:t>Dodavatel tepelné energie požaduje od provozovatele zařízení připojených k</w:t>
      </w:r>
      <w:r w:rsidR="00A86E55">
        <w:t xml:space="preserve"> soustavám centrálního zásobování teplem </w:t>
      </w:r>
      <w:r w:rsidRPr="00544502">
        <w:t xml:space="preserve">zajištění neprodleného přístupu k měřicímu zařízení a hlavním uzavíracím armaturám. </w:t>
      </w:r>
    </w:p>
    <w:p w14:paraId="6A15EF99" w14:textId="77777777" w:rsidR="006C430F" w:rsidRPr="00645590" w:rsidRDefault="006C430F" w:rsidP="00446EB7">
      <w:pPr>
        <w:pStyle w:val="Zkladntext"/>
        <w:jc w:val="both"/>
        <w:rPr>
          <w:sz w:val="24"/>
          <w:szCs w:val="24"/>
          <w:highlight w:val="red"/>
        </w:rPr>
      </w:pPr>
    </w:p>
    <w:p w14:paraId="14CD8D59" w14:textId="77777777" w:rsidR="006C430F" w:rsidRPr="00544502" w:rsidRDefault="006C430F" w:rsidP="00A86E55">
      <w:pPr>
        <w:pStyle w:val="Nadpis1"/>
        <w:numPr>
          <w:ilvl w:val="0"/>
          <w:numId w:val="0"/>
        </w:numPr>
        <w:jc w:val="both"/>
      </w:pPr>
      <w:bookmarkStart w:id="12" w:name="_Toc137789192"/>
      <w:r w:rsidRPr="00544502">
        <w:t>7</w:t>
      </w:r>
      <w:r w:rsidR="00446EB7">
        <w:tab/>
      </w:r>
      <w:r w:rsidRPr="00544502">
        <w:t>VSTUPNÍ A VYSTAVENÁ DOKUMENTACE</w:t>
      </w:r>
      <w:bookmarkEnd w:id="12"/>
    </w:p>
    <w:p w14:paraId="2CB450F9" w14:textId="77777777" w:rsidR="006C430F" w:rsidRPr="00544502" w:rsidRDefault="006C430F" w:rsidP="006C430F">
      <w:pPr>
        <w:jc w:val="both"/>
      </w:pPr>
    </w:p>
    <w:p w14:paraId="1C93186E" w14:textId="1EBA12D4" w:rsidR="006C430F" w:rsidRPr="00544502" w:rsidRDefault="006C430F" w:rsidP="00923AB5">
      <w:pPr>
        <w:jc w:val="both"/>
      </w:pPr>
      <w:r w:rsidRPr="008F013D">
        <w:t xml:space="preserve">Přihláška k odběru </w:t>
      </w:r>
      <w:r w:rsidR="00BA70AD">
        <w:t xml:space="preserve">tepelné </w:t>
      </w:r>
      <w:bookmarkStart w:id="13" w:name="_GoBack"/>
      <w:bookmarkEnd w:id="13"/>
      <w:r w:rsidR="00923AB5">
        <w:t xml:space="preserve">energie </w:t>
      </w:r>
      <w:r w:rsidR="00923AB5" w:rsidRPr="008F013D">
        <w:t>– je</w:t>
      </w:r>
      <w:r w:rsidRPr="008F013D">
        <w:t xml:space="preserve"> umístěna v zákaznické sekci </w:t>
      </w:r>
      <w:r w:rsidR="008F013D" w:rsidRPr="008F013D">
        <w:t xml:space="preserve">(dokumenty pro stažení) </w:t>
      </w:r>
      <w:r w:rsidRPr="008F013D">
        <w:t xml:space="preserve">webových stránek </w:t>
      </w:r>
      <w:r w:rsidR="00BA70AD">
        <w:t>Teplárny Zlín</w:t>
      </w:r>
      <w:r w:rsidR="008F013D" w:rsidRPr="008F013D">
        <w:t xml:space="preserve"> s.r.o.</w:t>
      </w:r>
      <w:r w:rsidRPr="008F013D">
        <w:t xml:space="preserve"> </w:t>
      </w:r>
      <w:r w:rsidR="00BA70AD" w:rsidRPr="00BA70AD">
        <w:t>https://www.7</w:t>
      </w:r>
      <w:r w:rsidR="00FE3C9F">
        <w:t>.cz</w:t>
      </w:r>
      <w:r w:rsidR="00BA70AD" w:rsidRPr="00BA70AD">
        <w:t xml:space="preserve">/cz/cinnosti/dokumenty-zlin.html </w:t>
      </w:r>
    </w:p>
    <w:p w14:paraId="521D01BC" w14:textId="33A1519E" w:rsidR="006C430F" w:rsidRPr="00544502" w:rsidRDefault="006C430F" w:rsidP="00923AB5">
      <w:pPr>
        <w:jc w:val="both"/>
      </w:pPr>
      <w:r w:rsidRPr="00544502">
        <w:t xml:space="preserve">Smlouva o </w:t>
      </w:r>
      <w:r w:rsidR="00FE3C9F">
        <w:t>dodávkách tepelné energie</w:t>
      </w:r>
      <w:r w:rsidRPr="00544502">
        <w:t>.</w:t>
      </w:r>
    </w:p>
    <w:p w14:paraId="3DD877F7" w14:textId="77777777" w:rsidR="006C430F" w:rsidRPr="00645590" w:rsidRDefault="006C430F" w:rsidP="00923AB5">
      <w:pPr>
        <w:ind w:left="708"/>
        <w:jc w:val="both"/>
        <w:rPr>
          <w:highlight w:val="red"/>
        </w:rPr>
      </w:pPr>
    </w:p>
    <w:p w14:paraId="0C7F37F6" w14:textId="77777777" w:rsidR="006C430F" w:rsidRPr="00544502" w:rsidRDefault="006C430F" w:rsidP="00923AB5">
      <w:pPr>
        <w:pStyle w:val="Nadpis1"/>
        <w:numPr>
          <w:ilvl w:val="0"/>
          <w:numId w:val="0"/>
        </w:numPr>
        <w:jc w:val="both"/>
      </w:pPr>
      <w:bookmarkStart w:id="14" w:name="_Toc137789193"/>
      <w:r w:rsidRPr="00544502">
        <w:t>8</w:t>
      </w:r>
      <w:r w:rsidR="00446EB7">
        <w:tab/>
      </w:r>
      <w:r w:rsidRPr="00544502">
        <w:t>SOUVISEJÍCÍ DOKUMENTACE</w:t>
      </w:r>
      <w:bookmarkEnd w:id="14"/>
    </w:p>
    <w:p w14:paraId="07929BA8" w14:textId="77777777" w:rsidR="006C430F" w:rsidRPr="00544502" w:rsidRDefault="006C430F" w:rsidP="00923AB5">
      <w:pPr>
        <w:ind w:left="284"/>
        <w:jc w:val="both"/>
      </w:pPr>
    </w:p>
    <w:p w14:paraId="1E6A33DB" w14:textId="5C39D71D" w:rsidR="006C430F" w:rsidRPr="00544502" w:rsidRDefault="006C430F" w:rsidP="00923AB5">
      <w:pPr>
        <w:tabs>
          <w:tab w:val="left" w:pos="-142"/>
          <w:tab w:val="num" w:pos="720"/>
        </w:tabs>
        <w:jc w:val="both"/>
      </w:pPr>
      <w:r w:rsidRPr="00544502">
        <w:t>Zákon č. 458/2000 Sb. v platném znění o podmínkách podnikání a o výkonu státní správy v</w:t>
      </w:r>
      <w:r w:rsidR="00923AB5">
        <w:t> </w:t>
      </w:r>
      <w:r w:rsidRPr="00544502">
        <w:t>energetických odvětvích a o změně některých zákonů</w:t>
      </w:r>
      <w:r w:rsidR="00446EB7">
        <w:t xml:space="preserve"> </w:t>
      </w:r>
      <w:r w:rsidRPr="00544502">
        <w:t>(energetický zákon).</w:t>
      </w:r>
    </w:p>
    <w:p w14:paraId="6B541865" w14:textId="77777777" w:rsidR="006C430F" w:rsidRPr="00544502" w:rsidRDefault="006C430F" w:rsidP="00923AB5">
      <w:pPr>
        <w:tabs>
          <w:tab w:val="left" w:pos="-142"/>
          <w:tab w:val="num" w:pos="720"/>
        </w:tabs>
        <w:jc w:val="both"/>
      </w:pPr>
    </w:p>
    <w:p w14:paraId="1438D19B" w14:textId="77777777" w:rsidR="00C57DA8" w:rsidRDefault="00C57DA8" w:rsidP="00923AB5">
      <w:pPr>
        <w:tabs>
          <w:tab w:val="left" w:pos="-142"/>
          <w:tab w:val="num" w:pos="720"/>
        </w:tabs>
        <w:jc w:val="both"/>
      </w:pPr>
      <w:r>
        <w:t xml:space="preserve">Vyhláška č. </w:t>
      </w:r>
      <w:r w:rsidR="00EB723A">
        <w:t xml:space="preserve">405/2015 Sb. </w:t>
      </w:r>
      <w:r>
        <w:t xml:space="preserve">o způsobu dělení nákladů za dodávku tepelné energie při společném měření množství tepelné energie </w:t>
      </w:r>
    </w:p>
    <w:p w14:paraId="62CDE4F9" w14:textId="77777777" w:rsidR="006C430F" w:rsidRDefault="00C57DA8" w:rsidP="00923AB5">
      <w:pPr>
        <w:tabs>
          <w:tab w:val="left" w:pos="-142"/>
          <w:tab w:val="num" w:pos="720"/>
        </w:tabs>
        <w:jc w:val="both"/>
      </w:pPr>
      <w:r>
        <w:t>Vyhláška č.478/2006 Sb. o způsobu výpočtu škody vzniklé držiteli licence neoprávněným odběrem tepla</w:t>
      </w:r>
    </w:p>
    <w:p w14:paraId="0FD6111B" w14:textId="77777777" w:rsidR="00C57DA8" w:rsidRPr="00544502" w:rsidRDefault="00C57DA8" w:rsidP="00C57DA8">
      <w:pPr>
        <w:tabs>
          <w:tab w:val="left" w:pos="-142"/>
          <w:tab w:val="num" w:pos="720"/>
        </w:tabs>
      </w:pPr>
    </w:p>
    <w:p w14:paraId="225AFAD3" w14:textId="77777777" w:rsidR="006C430F" w:rsidRPr="00544502" w:rsidRDefault="006C430F" w:rsidP="006C430F">
      <w:pPr>
        <w:tabs>
          <w:tab w:val="left" w:pos="-142"/>
          <w:tab w:val="num" w:pos="720"/>
        </w:tabs>
      </w:pPr>
      <w:r w:rsidRPr="00544502">
        <w:t>Vyhláška č. 225/2001 Sb., o řešení stavů nouze v teplárenství.</w:t>
      </w:r>
    </w:p>
    <w:p w14:paraId="1755251B" w14:textId="77777777" w:rsidR="006C430F" w:rsidRPr="00645590" w:rsidRDefault="006C430F" w:rsidP="00AE2B75">
      <w:pPr>
        <w:jc w:val="both"/>
        <w:rPr>
          <w:highlight w:val="red"/>
        </w:rPr>
      </w:pPr>
    </w:p>
    <w:p w14:paraId="387D35FB" w14:textId="77777777" w:rsidR="006C430F" w:rsidRPr="00544502" w:rsidRDefault="006C430F" w:rsidP="00724F84">
      <w:pPr>
        <w:pStyle w:val="Nadpis1"/>
        <w:numPr>
          <w:ilvl w:val="0"/>
          <w:numId w:val="0"/>
        </w:numPr>
      </w:pPr>
      <w:bookmarkStart w:id="15" w:name="_Toc137789194"/>
      <w:r w:rsidRPr="00544502">
        <w:t>9</w:t>
      </w:r>
      <w:r w:rsidR="00446EB7">
        <w:tab/>
      </w:r>
      <w:r w:rsidRPr="00544502">
        <w:t>PŘÍLOHY</w:t>
      </w:r>
      <w:bookmarkEnd w:id="15"/>
    </w:p>
    <w:p w14:paraId="368CA85D" w14:textId="77777777" w:rsidR="006C430F" w:rsidRPr="00544502" w:rsidRDefault="006C430F" w:rsidP="006C430F">
      <w:pPr>
        <w:ind w:left="708"/>
      </w:pPr>
    </w:p>
    <w:p w14:paraId="4D23CAE1" w14:textId="77777777" w:rsidR="006C430F" w:rsidRPr="00544502" w:rsidRDefault="006C430F" w:rsidP="006C430F">
      <w:pPr>
        <w:ind w:left="708" w:hanging="708"/>
      </w:pPr>
      <w:r w:rsidRPr="00544502">
        <w:t>Příloha č.</w:t>
      </w:r>
      <w:r w:rsidR="00726383">
        <w:t xml:space="preserve"> </w:t>
      </w:r>
      <w:r w:rsidRPr="00544502">
        <w:t>1: Důležitá telefonní a komunikační spojení</w:t>
      </w:r>
    </w:p>
    <w:p w14:paraId="712B046F" w14:textId="77777777" w:rsidR="000D7B98" w:rsidRDefault="006C430F" w:rsidP="006C430F">
      <w:pPr>
        <w:ind w:left="708" w:hanging="708"/>
      </w:pPr>
      <w:r w:rsidRPr="00544502">
        <w:t>Příloha č.</w:t>
      </w:r>
      <w:r w:rsidR="00726383">
        <w:t xml:space="preserve"> </w:t>
      </w:r>
      <w:r w:rsidRPr="00544502">
        <w:t>2: Sch</w:t>
      </w:r>
      <w:r w:rsidR="009105AC">
        <w:t>é</w:t>
      </w:r>
      <w:r w:rsidRPr="00544502">
        <w:t>ma připojení odběrného místa</w:t>
      </w:r>
    </w:p>
    <w:p w14:paraId="1A560957" w14:textId="77777777" w:rsidR="006C430F" w:rsidRPr="00544502" w:rsidRDefault="006C430F" w:rsidP="000D7B98">
      <w:pPr>
        <w:ind w:left="708" w:hanging="708"/>
        <w:rPr>
          <w:b/>
        </w:rPr>
      </w:pPr>
      <w:r w:rsidRPr="00645590">
        <w:rPr>
          <w:b/>
          <w:highlight w:val="red"/>
        </w:rPr>
        <w:br w:type="page"/>
      </w:r>
      <w:r w:rsidRPr="00544502">
        <w:rPr>
          <w:b/>
        </w:rPr>
        <w:lastRenderedPageBreak/>
        <w:t>Příloha č.</w:t>
      </w:r>
      <w:r w:rsidR="00726383">
        <w:rPr>
          <w:b/>
        </w:rPr>
        <w:t xml:space="preserve"> </w:t>
      </w:r>
      <w:r w:rsidRPr="00544502">
        <w:rPr>
          <w:b/>
        </w:rPr>
        <w:t>1: Seznam důležitých adres a komunikačních spojení.</w:t>
      </w:r>
    </w:p>
    <w:p w14:paraId="71B1218C" w14:textId="77777777" w:rsidR="006C430F" w:rsidRPr="00544502" w:rsidRDefault="006C430F" w:rsidP="006C430F">
      <w:pPr>
        <w:tabs>
          <w:tab w:val="num" w:pos="882"/>
        </w:tabs>
        <w:ind w:left="284"/>
        <w:rPr>
          <w:b/>
        </w:rPr>
      </w:pPr>
    </w:p>
    <w:p w14:paraId="26D140CD" w14:textId="77777777" w:rsidR="009105AC" w:rsidRDefault="009105AC" w:rsidP="00446EB7">
      <w:pPr>
        <w:pStyle w:val="Zpat"/>
        <w:tabs>
          <w:tab w:val="clear" w:pos="4536"/>
          <w:tab w:val="clear" w:pos="9072"/>
        </w:tabs>
        <w:rPr>
          <w:b/>
          <w:i/>
          <w:iCs/>
          <w:szCs w:val="24"/>
          <w:u w:val="single"/>
        </w:rPr>
      </w:pPr>
    </w:p>
    <w:p w14:paraId="44AFC43A" w14:textId="77777777" w:rsidR="00446EB7" w:rsidRDefault="00446EB7" w:rsidP="00446EB7">
      <w:pPr>
        <w:pStyle w:val="Zpat"/>
        <w:tabs>
          <w:tab w:val="clear" w:pos="4536"/>
          <w:tab w:val="clear" w:pos="9072"/>
        </w:tabs>
        <w:rPr>
          <w:b/>
          <w:i/>
          <w:iCs/>
          <w:szCs w:val="24"/>
          <w:u w:val="single"/>
        </w:rPr>
      </w:pPr>
      <w:r>
        <w:rPr>
          <w:b/>
          <w:i/>
          <w:iCs/>
          <w:szCs w:val="24"/>
          <w:u w:val="single"/>
        </w:rPr>
        <w:t xml:space="preserve">Distribuční oblast </w:t>
      </w:r>
      <w:r w:rsidR="00BA70AD">
        <w:rPr>
          <w:b/>
          <w:i/>
          <w:iCs/>
          <w:szCs w:val="24"/>
          <w:u w:val="single"/>
        </w:rPr>
        <w:t xml:space="preserve">Teplárna </w:t>
      </w:r>
      <w:r>
        <w:rPr>
          <w:b/>
          <w:i/>
          <w:iCs/>
          <w:szCs w:val="24"/>
          <w:u w:val="single"/>
        </w:rPr>
        <w:t>Zlín</w:t>
      </w:r>
      <w:r w:rsidR="00BA70AD">
        <w:rPr>
          <w:b/>
          <w:i/>
          <w:iCs/>
          <w:szCs w:val="24"/>
          <w:u w:val="single"/>
        </w:rPr>
        <w:t xml:space="preserve"> s.r.o.</w:t>
      </w:r>
      <w:r>
        <w:rPr>
          <w:b/>
          <w:i/>
          <w:iCs/>
          <w:szCs w:val="24"/>
          <w:u w:val="single"/>
        </w:rPr>
        <w:t>:</w:t>
      </w:r>
    </w:p>
    <w:p w14:paraId="2607B10D" w14:textId="77777777" w:rsidR="00446EB7" w:rsidRDefault="00446EB7" w:rsidP="006C430F">
      <w:pPr>
        <w:pStyle w:val="Zpat"/>
        <w:tabs>
          <w:tab w:val="clear" w:pos="4536"/>
          <w:tab w:val="clear" w:pos="9072"/>
        </w:tabs>
        <w:rPr>
          <w:szCs w:val="24"/>
          <w:highlight w:val="red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268"/>
      </w:tblGrid>
      <w:tr w:rsidR="008011D5" w:rsidRPr="00544502" w14:paraId="055F08A5" w14:textId="77777777" w:rsidTr="00AB25A4">
        <w:tc>
          <w:tcPr>
            <w:tcW w:w="6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01FFA3F" w14:textId="77777777" w:rsidR="008011D5" w:rsidRPr="00544502" w:rsidRDefault="008011D5" w:rsidP="00AB25A4">
            <w:pPr>
              <w:rPr>
                <w:b/>
              </w:rPr>
            </w:pPr>
            <w:r w:rsidRPr="00544502">
              <w:rPr>
                <w:b/>
              </w:rPr>
              <w:t>Externí organizace 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5CFF10B" w14:textId="77777777" w:rsidR="008011D5" w:rsidRPr="00544502" w:rsidRDefault="008011D5" w:rsidP="00AB25A4">
            <w:r w:rsidRPr="00544502">
              <w:t>Telefonní spojení</w:t>
            </w:r>
          </w:p>
        </w:tc>
      </w:tr>
      <w:tr w:rsidR="008011D5" w:rsidRPr="00544502" w14:paraId="16C0206E" w14:textId="77777777" w:rsidTr="00AB25A4">
        <w:tc>
          <w:tcPr>
            <w:tcW w:w="6733" w:type="dxa"/>
            <w:tcBorders>
              <w:left w:val="single" w:sz="18" w:space="0" w:color="auto"/>
            </w:tcBorders>
          </w:tcPr>
          <w:p w14:paraId="29DB46A8" w14:textId="77777777" w:rsidR="008011D5" w:rsidRPr="00544502" w:rsidRDefault="008011D5" w:rsidP="00AB25A4">
            <w:r w:rsidRPr="00544502">
              <w:t>Integrovaný záchranný systém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C327505" w14:textId="77777777" w:rsidR="008011D5" w:rsidRPr="00544502" w:rsidRDefault="008011D5" w:rsidP="00AB25A4">
            <w:r w:rsidRPr="00544502">
              <w:t>112</w:t>
            </w:r>
          </w:p>
        </w:tc>
      </w:tr>
      <w:tr w:rsidR="008011D5" w:rsidRPr="00544502" w14:paraId="332D207F" w14:textId="77777777" w:rsidTr="00AB25A4">
        <w:tc>
          <w:tcPr>
            <w:tcW w:w="6733" w:type="dxa"/>
            <w:tcBorders>
              <w:left w:val="single" w:sz="18" w:space="0" w:color="auto"/>
            </w:tcBorders>
          </w:tcPr>
          <w:p w14:paraId="63A8C6BE" w14:textId="77777777" w:rsidR="008011D5" w:rsidRPr="00544502" w:rsidRDefault="008011D5" w:rsidP="00AB25A4">
            <w:r w:rsidRPr="00544502">
              <w:t>Policie ČR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CDD5C5C" w14:textId="77777777" w:rsidR="008011D5" w:rsidRPr="00544502" w:rsidRDefault="008011D5" w:rsidP="00AB25A4">
            <w:r w:rsidRPr="00544502">
              <w:t>158</w:t>
            </w:r>
          </w:p>
        </w:tc>
      </w:tr>
      <w:tr w:rsidR="008011D5" w:rsidRPr="00544502" w14:paraId="38C3EE8C" w14:textId="77777777" w:rsidTr="00AB25A4">
        <w:tc>
          <w:tcPr>
            <w:tcW w:w="6733" w:type="dxa"/>
            <w:tcBorders>
              <w:left w:val="single" w:sz="18" w:space="0" w:color="auto"/>
            </w:tcBorders>
          </w:tcPr>
          <w:p w14:paraId="65447144" w14:textId="77777777" w:rsidR="008011D5" w:rsidRPr="00544502" w:rsidRDefault="008011D5" w:rsidP="00AB25A4">
            <w:r w:rsidRPr="00544502">
              <w:t>Zdravotní záchranná služba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DBA2256" w14:textId="77777777" w:rsidR="008011D5" w:rsidRPr="00544502" w:rsidRDefault="008011D5" w:rsidP="00AB25A4">
            <w:r w:rsidRPr="00544502">
              <w:t>155</w:t>
            </w:r>
          </w:p>
        </w:tc>
      </w:tr>
      <w:tr w:rsidR="008011D5" w:rsidRPr="00544502" w14:paraId="2E139951" w14:textId="77777777" w:rsidTr="00AB25A4">
        <w:tc>
          <w:tcPr>
            <w:tcW w:w="6733" w:type="dxa"/>
            <w:tcBorders>
              <w:left w:val="single" w:sz="18" w:space="0" w:color="auto"/>
            </w:tcBorders>
          </w:tcPr>
          <w:p w14:paraId="4FA33844" w14:textId="77777777" w:rsidR="008011D5" w:rsidRPr="00544502" w:rsidRDefault="008011D5" w:rsidP="008011D5">
            <w:r w:rsidRPr="00544502">
              <w:t xml:space="preserve">Hasičský záchranný sbor </w:t>
            </w:r>
            <w:r>
              <w:t>zlínského</w:t>
            </w:r>
            <w:r w:rsidRPr="00544502">
              <w:t xml:space="preserve"> kraje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3B26683" w14:textId="77777777" w:rsidR="008011D5" w:rsidRPr="00544502" w:rsidRDefault="008011D5" w:rsidP="00AB25A4">
            <w:r w:rsidRPr="00544502">
              <w:t>150</w:t>
            </w:r>
          </w:p>
        </w:tc>
      </w:tr>
      <w:tr w:rsidR="008011D5" w:rsidRPr="00544502" w14:paraId="28C945BD" w14:textId="77777777" w:rsidTr="00AB25A4">
        <w:trPr>
          <w:trHeight w:val="289"/>
        </w:trPr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ED7737" w14:textId="739008B4" w:rsidR="008011D5" w:rsidRPr="00544502" w:rsidRDefault="00BA70AD" w:rsidP="00AB25A4">
            <w:pPr>
              <w:rPr>
                <w:b/>
              </w:rPr>
            </w:pPr>
            <w:r>
              <w:rPr>
                <w:b/>
              </w:rPr>
              <w:t>Teplárna Zlín</w:t>
            </w:r>
            <w:r w:rsidR="008011D5" w:rsidRPr="00544502">
              <w:rPr>
                <w:b/>
              </w:rPr>
              <w:t> s.r.o.</w:t>
            </w:r>
            <w:r w:rsidR="008011D5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35B0F" w14:textId="77777777" w:rsidR="008011D5" w:rsidRPr="00544502" w:rsidRDefault="008011D5" w:rsidP="00AB25A4">
            <w:r w:rsidRPr="00544502">
              <w:t>Telefonní spojení</w:t>
            </w:r>
          </w:p>
        </w:tc>
      </w:tr>
      <w:tr w:rsidR="008011D5" w:rsidRPr="00544502" w14:paraId="06B9F4BD" w14:textId="77777777" w:rsidTr="00AB25A4">
        <w:trPr>
          <w:trHeight w:val="289"/>
        </w:trPr>
        <w:tc>
          <w:tcPr>
            <w:tcW w:w="6733" w:type="dxa"/>
            <w:tcBorders>
              <w:top w:val="single" w:sz="4" w:space="0" w:color="auto"/>
              <w:left w:val="single" w:sz="18" w:space="0" w:color="auto"/>
            </w:tcBorders>
          </w:tcPr>
          <w:p w14:paraId="4C851DBB" w14:textId="77777777" w:rsidR="008011D5" w:rsidRPr="00544502" w:rsidRDefault="008011D5" w:rsidP="00AB25A4">
            <w:r w:rsidRPr="00544502">
              <w:t>Směnový inženýr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</w:tcPr>
          <w:p w14:paraId="29D26002" w14:textId="77777777" w:rsidR="008011D5" w:rsidRPr="00544502" w:rsidRDefault="004D098D" w:rsidP="004D098D">
            <w:r>
              <w:t>577 522 201</w:t>
            </w:r>
            <w:r w:rsidR="008011D5" w:rsidRPr="00544502">
              <w:t xml:space="preserve">               </w:t>
            </w:r>
            <w:r>
              <w:t>606 712 780</w:t>
            </w:r>
          </w:p>
        </w:tc>
      </w:tr>
      <w:tr w:rsidR="001B2533" w:rsidRPr="00544502" w14:paraId="7FEFC841" w14:textId="77777777" w:rsidTr="00AB25A4">
        <w:trPr>
          <w:trHeight w:val="289"/>
        </w:trPr>
        <w:tc>
          <w:tcPr>
            <w:tcW w:w="6733" w:type="dxa"/>
            <w:tcBorders>
              <w:top w:val="single" w:sz="4" w:space="0" w:color="auto"/>
              <w:left w:val="single" w:sz="18" w:space="0" w:color="auto"/>
            </w:tcBorders>
          </w:tcPr>
          <w:p w14:paraId="26EE9921" w14:textId="77AAC857" w:rsidR="001B2533" w:rsidRPr="00544502" w:rsidRDefault="001B2533" w:rsidP="001B2533">
            <w:r>
              <w:t xml:space="preserve">Vedoucí obchodu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</w:tcPr>
          <w:p w14:paraId="2A754FBF" w14:textId="77777777" w:rsidR="001B2533" w:rsidRDefault="001B2533" w:rsidP="004D098D">
            <w:r>
              <w:t>577 524 868</w:t>
            </w:r>
          </w:p>
          <w:p w14:paraId="7181142C" w14:textId="77777777" w:rsidR="001B2533" w:rsidRDefault="001B2533" w:rsidP="004D098D">
            <w:r>
              <w:t>724 070 990</w:t>
            </w:r>
          </w:p>
        </w:tc>
      </w:tr>
      <w:tr w:rsidR="008011D5" w:rsidRPr="00544502" w14:paraId="766FFC5C" w14:textId="77777777" w:rsidTr="00AB25A4">
        <w:trPr>
          <w:trHeight w:val="289"/>
        </w:trPr>
        <w:tc>
          <w:tcPr>
            <w:tcW w:w="6733" w:type="dxa"/>
            <w:tcBorders>
              <w:top w:val="single" w:sz="4" w:space="0" w:color="auto"/>
              <w:left w:val="single" w:sz="18" w:space="0" w:color="auto"/>
            </w:tcBorders>
          </w:tcPr>
          <w:p w14:paraId="2CE25196" w14:textId="77777777" w:rsidR="008011D5" w:rsidRPr="00544502" w:rsidRDefault="008011D5" w:rsidP="008011D5">
            <w:r w:rsidRPr="00544502">
              <w:t xml:space="preserve">Vedoucí technik </w:t>
            </w:r>
            <w:r>
              <w:t>distribuce energií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</w:tcPr>
          <w:p w14:paraId="0160B798" w14:textId="77777777" w:rsidR="008011D5" w:rsidRPr="00544502" w:rsidRDefault="004D098D" w:rsidP="004D098D">
            <w:r>
              <w:t>577 524 850</w:t>
            </w:r>
            <w:r w:rsidR="008011D5" w:rsidRPr="00544502">
              <w:t xml:space="preserve">                </w:t>
            </w:r>
            <w:r>
              <w:t>724 071 007</w:t>
            </w:r>
          </w:p>
        </w:tc>
      </w:tr>
      <w:tr w:rsidR="008011D5" w:rsidRPr="00544502" w14:paraId="2F637FEA" w14:textId="77777777" w:rsidTr="00AB25A4">
        <w:trPr>
          <w:trHeight w:val="289"/>
        </w:trPr>
        <w:tc>
          <w:tcPr>
            <w:tcW w:w="6733" w:type="dxa"/>
            <w:tcBorders>
              <w:top w:val="single" w:sz="4" w:space="0" w:color="auto"/>
              <w:left w:val="single" w:sz="18" w:space="0" w:color="auto"/>
            </w:tcBorders>
          </w:tcPr>
          <w:p w14:paraId="413153D4" w14:textId="77777777" w:rsidR="008011D5" w:rsidRPr="00544502" w:rsidRDefault="008011D5" w:rsidP="008011D5">
            <w:r w:rsidRPr="00544502">
              <w:t xml:space="preserve">Technik </w:t>
            </w:r>
            <w:r>
              <w:t>distribuce energií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</w:tcPr>
          <w:p w14:paraId="1C69BB84" w14:textId="77777777" w:rsidR="008011D5" w:rsidRPr="00544502" w:rsidRDefault="004D098D" w:rsidP="00AB25A4">
            <w:r>
              <w:t>577 522 284</w:t>
            </w:r>
          </w:p>
          <w:p w14:paraId="1F4B8614" w14:textId="77777777" w:rsidR="008011D5" w:rsidRPr="00544502" w:rsidRDefault="004D098D" w:rsidP="00AB25A4">
            <w:r>
              <w:t>724 074 284</w:t>
            </w:r>
          </w:p>
        </w:tc>
      </w:tr>
      <w:tr w:rsidR="008011D5" w:rsidRPr="00544502" w14:paraId="5880B551" w14:textId="77777777" w:rsidTr="00AB25A4">
        <w:trPr>
          <w:trHeight w:val="289"/>
        </w:trPr>
        <w:tc>
          <w:tcPr>
            <w:tcW w:w="6733" w:type="dxa"/>
            <w:tcBorders>
              <w:left w:val="single" w:sz="18" w:space="0" w:color="auto"/>
              <w:bottom w:val="single" w:sz="18" w:space="0" w:color="auto"/>
            </w:tcBorders>
          </w:tcPr>
          <w:p w14:paraId="172EF4E6" w14:textId="77777777" w:rsidR="008011D5" w:rsidRPr="00544502" w:rsidRDefault="008011D5" w:rsidP="00AB25A4">
            <w:r>
              <w:t>Metrolog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14:paraId="7F75DA91" w14:textId="77777777" w:rsidR="008011D5" w:rsidRDefault="004D098D" w:rsidP="00AB25A4">
            <w:r>
              <w:t>577 524 800</w:t>
            </w:r>
          </w:p>
          <w:p w14:paraId="674EE3A9" w14:textId="77777777" w:rsidR="004D098D" w:rsidRPr="00544502" w:rsidRDefault="004D098D" w:rsidP="00AB25A4">
            <w:r>
              <w:t>724 070 982</w:t>
            </w:r>
          </w:p>
        </w:tc>
      </w:tr>
    </w:tbl>
    <w:p w14:paraId="5CB8C5FB" w14:textId="77777777" w:rsidR="008011D5" w:rsidRPr="000D7B98" w:rsidRDefault="008011D5" w:rsidP="006C430F">
      <w:pPr>
        <w:pStyle w:val="Zpat"/>
        <w:tabs>
          <w:tab w:val="clear" w:pos="4536"/>
          <w:tab w:val="clear" w:pos="9072"/>
        </w:tabs>
        <w:rPr>
          <w:szCs w:val="24"/>
          <w:highlight w:val="red"/>
        </w:rPr>
      </w:pPr>
    </w:p>
    <w:p w14:paraId="63222CCB" w14:textId="15DB698D" w:rsidR="00635842" w:rsidRDefault="006C430F" w:rsidP="004F6F01">
      <w:pPr>
        <w:tabs>
          <w:tab w:val="num" w:pos="882"/>
        </w:tabs>
        <w:ind w:left="284"/>
      </w:pPr>
      <w:r w:rsidRPr="00645590">
        <w:rPr>
          <w:b/>
          <w:highlight w:val="red"/>
        </w:rPr>
        <w:br w:type="page"/>
      </w:r>
      <w:r w:rsidR="00BA70AD" w:rsidRPr="00544502" w:rsidDel="00BA70AD">
        <w:rPr>
          <w:b/>
        </w:rPr>
        <w:lastRenderedPageBreak/>
        <w:t xml:space="preserve"> </w:t>
      </w:r>
    </w:p>
    <w:p w14:paraId="64234AD0" w14:textId="77777777" w:rsidR="00D2620D" w:rsidRDefault="00D2620D" w:rsidP="000D7B98"/>
    <w:p w14:paraId="38F9FBA2" w14:textId="77777777" w:rsidR="00D2620D" w:rsidRDefault="00D2620D" w:rsidP="000D7B98"/>
    <w:p w14:paraId="6937492B" w14:textId="7CA22C6F" w:rsidR="007F61E8" w:rsidRPr="00F81987" w:rsidRDefault="00D2620D" w:rsidP="00726383">
      <w:pPr>
        <w:jc w:val="center"/>
        <w:rPr>
          <w:b/>
        </w:rPr>
      </w:pPr>
      <w:r w:rsidRPr="00F81987">
        <w:rPr>
          <w:b/>
        </w:rPr>
        <w:t xml:space="preserve">Schéma připojení odběrného místa </w:t>
      </w:r>
      <w:r w:rsidR="00F50F43">
        <w:rPr>
          <w:b/>
        </w:rPr>
        <w:t>z horkovodu</w:t>
      </w:r>
    </w:p>
    <w:p w14:paraId="08FEF63A" w14:textId="77777777" w:rsidR="00D2620D" w:rsidRDefault="00D2620D" w:rsidP="000D7B98">
      <w:r>
        <w:rPr>
          <w:noProof/>
        </w:rPr>
        <w:drawing>
          <wp:inline distT="0" distB="0" distL="0" distR="0" wp14:anchorId="3D13C05F" wp14:editId="39C7BE60">
            <wp:extent cx="5760720" cy="461425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8CF5C" w14:textId="77777777" w:rsidR="007F61E8" w:rsidRDefault="007F61E8" w:rsidP="000D7B98">
      <w:pPr>
        <w:ind w:left="708"/>
      </w:pPr>
    </w:p>
    <w:p w14:paraId="7677D06A" w14:textId="77777777" w:rsidR="007F61E8" w:rsidRDefault="007F61E8" w:rsidP="000D7B98">
      <w:pPr>
        <w:ind w:left="708"/>
      </w:pPr>
    </w:p>
    <w:p w14:paraId="6D836419" w14:textId="77777777" w:rsidR="007F61E8" w:rsidRDefault="007F61E8" w:rsidP="000D7B98">
      <w:pPr>
        <w:ind w:left="708"/>
      </w:pPr>
    </w:p>
    <w:p w14:paraId="64A3FB01" w14:textId="77777777" w:rsidR="007F61E8" w:rsidRDefault="007F61E8" w:rsidP="000D7B98">
      <w:pPr>
        <w:ind w:left="708"/>
      </w:pPr>
    </w:p>
    <w:p w14:paraId="01E1532C" w14:textId="77777777" w:rsidR="007F61E8" w:rsidRDefault="007F61E8" w:rsidP="000D7B98">
      <w:pPr>
        <w:ind w:left="708"/>
      </w:pPr>
    </w:p>
    <w:p w14:paraId="3C40717D" w14:textId="77777777" w:rsidR="007F61E8" w:rsidRDefault="007F61E8" w:rsidP="000D7B98">
      <w:pPr>
        <w:ind w:left="708"/>
      </w:pPr>
    </w:p>
    <w:p w14:paraId="0F4E8C3A" w14:textId="77777777" w:rsidR="007F61E8" w:rsidRDefault="007F61E8" w:rsidP="000D7B98">
      <w:pPr>
        <w:ind w:left="708"/>
      </w:pPr>
    </w:p>
    <w:p w14:paraId="53663FF2" w14:textId="77777777" w:rsidR="007F61E8" w:rsidRDefault="007F61E8" w:rsidP="000D7B98">
      <w:pPr>
        <w:ind w:left="708"/>
      </w:pPr>
    </w:p>
    <w:p w14:paraId="14B00D92" w14:textId="77777777" w:rsidR="007F61E8" w:rsidRDefault="007F61E8" w:rsidP="000D7B98">
      <w:pPr>
        <w:ind w:left="708"/>
      </w:pPr>
    </w:p>
    <w:p w14:paraId="410547AC" w14:textId="77777777" w:rsidR="007F61E8" w:rsidRDefault="007F61E8" w:rsidP="000D7B98">
      <w:pPr>
        <w:ind w:left="708"/>
      </w:pPr>
    </w:p>
    <w:p w14:paraId="029B5CB7" w14:textId="77777777" w:rsidR="007F61E8" w:rsidRDefault="007F61E8" w:rsidP="000D7B98">
      <w:pPr>
        <w:ind w:left="708"/>
      </w:pPr>
    </w:p>
    <w:p w14:paraId="1D409A0C" w14:textId="77777777" w:rsidR="007F61E8" w:rsidRDefault="007F61E8" w:rsidP="000D7B98">
      <w:pPr>
        <w:ind w:left="708"/>
      </w:pPr>
    </w:p>
    <w:p w14:paraId="52626F5D" w14:textId="77777777" w:rsidR="007F61E8" w:rsidRDefault="007F61E8" w:rsidP="000D7B98">
      <w:pPr>
        <w:ind w:left="708"/>
      </w:pPr>
    </w:p>
    <w:p w14:paraId="25572BB0" w14:textId="77777777" w:rsidR="007F61E8" w:rsidRDefault="007F61E8" w:rsidP="000D7B98">
      <w:pPr>
        <w:ind w:left="708"/>
      </w:pPr>
    </w:p>
    <w:p w14:paraId="1C33BDCE" w14:textId="77777777" w:rsidR="007F61E8" w:rsidRDefault="007F61E8" w:rsidP="000D7B98">
      <w:pPr>
        <w:ind w:left="708"/>
      </w:pPr>
    </w:p>
    <w:p w14:paraId="08054A87" w14:textId="77777777" w:rsidR="008466D7" w:rsidRDefault="008466D7" w:rsidP="000D7B98">
      <w:pPr>
        <w:ind w:left="708"/>
      </w:pPr>
    </w:p>
    <w:p w14:paraId="4E08C37B" w14:textId="77777777" w:rsidR="008466D7" w:rsidRDefault="008466D7" w:rsidP="000D7B98">
      <w:pPr>
        <w:ind w:left="708"/>
      </w:pPr>
    </w:p>
    <w:p w14:paraId="4140267E" w14:textId="77777777" w:rsidR="008466D7" w:rsidRDefault="008466D7" w:rsidP="000D7B98">
      <w:pPr>
        <w:ind w:left="708"/>
      </w:pPr>
    </w:p>
    <w:p w14:paraId="55117D53" w14:textId="77777777" w:rsidR="008466D7" w:rsidRDefault="008466D7" w:rsidP="000D7B98">
      <w:pPr>
        <w:ind w:left="708"/>
      </w:pPr>
    </w:p>
    <w:p w14:paraId="1B01B2EB" w14:textId="41409B24" w:rsidR="007F61E8" w:rsidRDefault="00C64176" w:rsidP="00726383">
      <w:pPr>
        <w:ind w:left="708"/>
        <w:jc w:val="center"/>
      </w:pPr>
      <w:r w:rsidRPr="00544502">
        <w:rPr>
          <w:b/>
        </w:rPr>
        <w:t>Schéma připojení odběrného místa</w:t>
      </w:r>
      <w:r>
        <w:rPr>
          <w:b/>
        </w:rPr>
        <w:t xml:space="preserve"> </w:t>
      </w:r>
      <w:r w:rsidR="00F50F43">
        <w:rPr>
          <w:b/>
        </w:rPr>
        <w:t>z parovodu</w:t>
      </w:r>
    </w:p>
    <w:p w14:paraId="2B39AC14" w14:textId="77777777" w:rsidR="007F61E8" w:rsidRDefault="007F61E8" w:rsidP="000D7B98">
      <w:pPr>
        <w:ind w:left="708"/>
      </w:pPr>
    </w:p>
    <w:p w14:paraId="5E8B3269" w14:textId="77777777" w:rsidR="002B699E" w:rsidRPr="000139C2" w:rsidRDefault="008466D7" w:rsidP="001E1791">
      <w:r>
        <w:rPr>
          <w:noProof/>
        </w:rPr>
        <w:drawing>
          <wp:inline distT="0" distB="0" distL="0" distR="0" wp14:anchorId="3EDF35C0" wp14:editId="141DEE87">
            <wp:extent cx="5760720" cy="4376317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9DA5C" w14:textId="77777777" w:rsidR="00A64EE3" w:rsidRDefault="00EB723A">
      <w:pPr>
        <w:rPr>
          <w:b/>
          <w:noProof/>
        </w:rPr>
      </w:pPr>
      <w:r w:rsidRPr="00EB723A">
        <w:rPr>
          <w:b/>
          <w:noProof/>
        </w:rPr>
        <w:t>v souladu s §78, odst.1 energetického zákona může být fakturační měření umístěno na výstupu z předávací stanice tepla, pokud tato slouží k dodávkám tepelné energie pouze pro jeden objekt</w:t>
      </w:r>
    </w:p>
    <w:sectPr w:rsidR="00A64EE3" w:rsidSect="002A71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A9A5" w14:textId="77777777" w:rsidR="00166A3F" w:rsidRDefault="00166A3F">
      <w:r>
        <w:separator/>
      </w:r>
    </w:p>
  </w:endnote>
  <w:endnote w:type="continuationSeparator" w:id="0">
    <w:p w14:paraId="33D840A6" w14:textId="77777777" w:rsidR="00166A3F" w:rsidRDefault="0016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rplGoth Bd BT">
    <w:altName w:val="Swis721 Ex B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154492"/>
      <w:docPartObj>
        <w:docPartGallery w:val="Page Numbers (Bottom of Page)"/>
        <w:docPartUnique/>
      </w:docPartObj>
    </w:sdtPr>
    <w:sdtEndPr/>
    <w:sdtContent>
      <w:p w14:paraId="701319FC" w14:textId="28E522C5" w:rsidR="00B93B1A" w:rsidRDefault="00B93B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10</w:t>
          </w:r>
        </w:fldSimple>
      </w:p>
    </w:sdtContent>
  </w:sdt>
  <w:p w14:paraId="49E41748" w14:textId="78084384" w:rsidR="004F6F01" w:rsidRPr="00E502DD" w:rsidRDefault="004F6F01" w:rsidP="00E502DD">
    <w:pPr>
      <w:pStyle w:val="Zpat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442B8" w14:textId="77777777" w:rsidR="00166A3F" w:rsidRDefault="00166A3F">
      <w:r>
        <w:separator/>
      </w:r>
    </w:p>
  </w:footnote>
  <w:footnote w:type="continuationSeparator" w:id="0">
    <w:p w14:paraId="189C0AB5" w14:textId="77777777" w:rsidR="00166A3F" w:rsidRDefault="0016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D58"/>
    <w:multiLevelType w:val="multilevel"/>
    <w:tmpl w:val="651E9AA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74"/>
        </w:tabs>
        <w:ind w:left="4574" w:hanging="79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BC410A"/>
    <w:multiLevelType w:val="hybridMultilevel"/>
    <w:tmpl w:val="DA20A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814"/>
    <w:multiLevelType w:val="multilevel"/>
    <w:tmpl w:val="6FC8D61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A079B7"/>
    <w:multiLevelType w:val="multilevel"/>
    <w:tmpl w:val="8102C15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D7C"/>
    <w:multiLevelType w:val="hybridMultilevel"/>
    <w:tmpl w:val="9FEEDE26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24F0C"/>
    <w:multiLevelType w:val="multilevel"/>
    <w:tmpl w:val="A7D2AE1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4F057A7"/>
    <w:multiLevelType w:val="multilevel"/>
    <w:tmpl w:val="141C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518FE"/>
    <w:multiLevelType w:val="hybridMultilevel"/>
    <w:tmpl w:val="2132E526"/>
    <w:lvl w:ilvl="0" w:tplc="0405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2C4758C2"/>
    <w:multiLevelType w:val="hybridMultilevel"/>
    <w:tmpl w:val="A7D2AE12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5DA18B2"/>
    <w:multiLevelType w:val="hybridMultilevel"/>
    <w:tmpl w:val="4D3690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92B8E"/>
    <w:multiLevelType w:val="hybridMultilevel"/>
    <w:tmpl w:val="4CE0BA92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05B48"/>
    <w:multiLevelType w:val="hybridMultilevel"/>
    <w:tmpl w:val="31CA8BE0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77B0A72"/>
    <w:multiLevelType w:val="hybridMultilevel"/>
    <w:tmpl w:val="1772F742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A59070C"/>
    <w:multiLevelType w:val="singleLevel"/>
    <w:tmpl w:val="0DEC808E"/>
    <w:lvl w:ilvl="0">
      <w:start w:val="1"/>
      <w:numFmt w:val="upp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E0B30DF"/>
    <w:multiLevelType w:val="multilevel"/>
    <w:tmpl w:val="3A2277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6"/>
        </w:tabs>
        <w:ind w:left="55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04"/>
        </w:tabs>
        <w:ind w:left="6504" w:hanging="1800"/>
      </w:pPr>
      <w:rPr>
        <w:rFonts w:hint="default"/>
      </w:rPr>
    </w:lvl>
  </w:abstractNum>
  <w:abstractNum w:abstractNumId="15" w15:restartNumberingAfterBreak="0">
    <w:nsid w:val="4F9C502C"/>
    <w:multiLevelType w:val="hybridMultilevel"/>
    <w:tmpl w:val="E3B40AE2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E110D8"/>
    <w:multiLevelType w:val="multilevel"/>
    <w:tmpl w:val="F7FC4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pprplGoth Bd BT" w:hAnsi="CopprplGoth Bd BT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pprplGoth Bd BT" w:hAnsi="CopprplGoth Bd B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pprplGoth Bd BT" w:hAnsi="CopprplGoth Bd B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E051EA2"/>
    <w:multiLevelType w:val="hybridMultilevel"/>
    <w:tmpl w:val="5DB6ACC8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F7ADE"/>
    <w:multiLevelType w:val="hybridMultilevel"/>
    <w:tmpl w:val="D4DEF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D0613F"/>
    <w:multiLevelType w:val="hybridMultilevel"/>
    <w:tmpl w:val="8A345D1C"/>
    <w:lvl w:ilvl="0" w:tplc="6A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882AC">
      <w:numFmt w:val="none"/>
      <w:lvlText w:val=""/>
      <w:lvlJc w:val="left"/>
      <w:pPr>
        <w:tabs>
          <w:tab w:val="num" w:pos="360"/>
        </w:tabs>
      </w:pPr>
    </w:lvl>
    <w:lvl w:ilvl="2" w:tplc="A528637E">
      <w:numFmt w:val="none"/>
      <w:lvlText w:val=""/>
      <w:lvlJc w:val="left"/>
      <w:pPr>
        <w:tabs>
          <w:tab w:val="num" w:pos="360"/>
        </w:tabs>
      </w:pPr>
    </w:lvl>
    <w:lvl w:ilvl="3" w:tplc="6212E728">
      <w:numFmt w:val="none"/>
      <w:lvlText w:val=""/>
      <w:lvlJc w:val="left"/>
      <w:pPr>
        <w:tabs>
          <w:tab w:val="num" w:pos="360"/>
        </w:tabs>
      </w:pPr>
    </w:lvl>
    <w:lvl w:ilvl="4" w:tplc="ADBEFBFA">
      <w:numFmt w:val="none"/>
      <w:lvlText w:val=""/>
      <w:lvlJc w:val="left"/>
      <w:pPr>
        <w:tabs>
          <w:tab w:val="num" w:pos="360"/>
        </w:tabs>
      </w:pPr>
    </w:lvl>
    <w:lvl w:ilvl="5" w:tplc="510EF15E">
      <w:numFmt w:val="none"/>
      <w:lvlText w:val=""/>
      <w:lvlJc w:val="left"/>
      <w:pPr>
        <w:tabs>
          <w:tab w:val="num" w:pos="360"/>
        </w:tabs>
      </w:pPr>
    </w:lvl>
    <w:lvl w:ilvl="6" w:tplc="5B3A3686">
      <w:numFmt w:val="none"/>
      <w:lvlText w:val=""/>
      <w:lvlJc w:val="left"/>
      <w:pPr>
        <w:tabs>
          <w:tab w:val="num" w:pos="360"/>
        </w:tabs>
      </w:pPr>
    </w:lvl>
    <w:lvl w:ilvl="7" w:tplc="07FCA25E">
      <w:numFmt w:val="none"/>
      <w:lvlText w:val=""/>
      <w:lvlJc w:val="left"/>
      <w:pPr>
        <w:tabs>
          <w:tab w:val="num" w:pos="360"/>
        </w:tabs>
      </w:pPr>
    </w:lvl>
    <w:lvl w:ilvl="8" w:tplc="950671C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A76141"/>
    <w:multiLevelType w:val="hybridMultilevel"/>
    <w:tmpl w:val="7424EF36"/>
    <w:lvl w:ilvl="0" w:tplc="3B0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1344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A1B15"/>
    <w:multiLevelType w:val="hybridMultilevel"/>
    <w:tmpl w:val="D6A4F300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DC674D"/>
    <w:multiLevelType w:val="hybridMultilevel"/>
    <w:tmpl w:val="907C62A2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7DE7A37"/>
    <w:multiLevelType w:val="multilevel"/>
    <w:tmpl w:val="D688D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C9045E"/>
    <w:multiLevelType w:val="hybridMultilevel"/>
    <w:tmpl w:val="D70CA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D7969"/>
    <w:multiLevelType w:val="hybridMultilevel"/>
    <w:tmpl w:val="0F42C29E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0520B5"/>
    <w:multiLevelType w:val="hybridMultilevel"/>
    <w:tmpl w:val="FA8C7510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E935A74"/>
    <w:multiLevelType w:val="multilevel"/>
    <w:tmpl w:val="48B6D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F8B003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C7538A"/>
    <w:multiLevelType w:val="hybridMultilevel"/>
    <w:tmpl w:val="7F8CB1BA"/>
    <w:lvl w:ilvl="0" w:tplc="2CF4DB52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78664275"/>
    <w:multiLevelType w:val="hybridMultilevel"/>
    <w:tmpl w:val="680C1B28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1B305D"/>
    <w:multiLevelType w:val="hybridMultilevel"/>
    <w:tmpl w:val="141CB508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9"/>
  </w:num>
  <w:num w:numId="15">
    <w:abstractNumId w:val="14"/>
  </w:num>
  <w:num w:numId="16">
    <w:abstractNumId w:val="9"/>
  </w:num>
  <w:num w:numId="17">
    <w:abstractNumId w:val="16"/>
  </w:num>
  <w:num w:numId="18">
    <w:abstractNumId w:val="7"/>
  </w:num>
  <w:num w:numId="19">
    <w:abstractNumId w:val="25"/>
  </w:num>
  <w:num w:numId="20">
    <w:abstractNumId w:val="15"/>
  </w:num>
  <w:num w:numId="21">
    <w:abstractNumId w:val="20"/>
  </w:num>
  <w:num w:numId="22">
    <w:abstractNumId w:val="4"/>
  </w:num>
  <w:num w:numId="23">
    <w:abstractNumId w:val="10"/>
  </w:num>
  <w:num w:numId="24">
    <w:abstractNumId w:val="3"/>
  </w:num>
  <w:num w:numId="25">
    <w:abstractNumId w:val="29"/>
  </w:num>
  <w:num w:numId="26">
    <w:abstractNumId w:val="17"/>
  </w:num>
  <w:num w:numId="27">
    <w:abstractNumId w:val="31"/>
  </w:num>
  <w:num w:numId="28">
    <w:abstractNumId w:val="21"/>
  </w:num>
  <w:num w:numId="29">
    <w:abstractNumId w:val="12"/>
  </w:num>
  <w:num w:numId="30">
    <w:abstractNumId w:val="26"/>
  </w:num>
  <w:num w:numId="31">
    <w:abstractNumId w:val="30"/>
  </w:num>
  <w:num w:numId="32">
    <w:abstractNumId w:val="6"/>
  </w:num>
  <w:num w:numId="33">
    <w:abstractNumId w:val="22"/>
  </w:num>
  <w:num w:numId="34">
    <w:abstractNumId w:val="8"/>
  </w:num>
  <w:num w:numId="35">
    <w:abstractNumId w:val="5"/>
  </w:num>
  <w:num w:numId="36">
    <w:abstractNumId w:val="11"/>
  </w:num>
  <w:num w:numId="37">
    <w:abstractNumId w:val="13"/>
  </w:num>
  <w:num w:numId="38">
    <w:abstractNumId w:val="24"/>
  </w:num>
  <w:num w:numId="39">
    <w:abstractNumId w:val="18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F2"/>
    <w:rsid w:val="00002102"/>
    <w:rsid w:val="0001054B"/>
    <w:rsid w:val="00014375"/>
    <w:rsid w:val="00014442"/>
    <w:rsid w:val="00014F05"/>
    <w:rsid w:val="00014F4C"/>
    <w:rsid w:val="0003294B"/>
    <w:rsid w:val="0003381A"/>
    <w:rsid w:val="00034DFA"/>
    <w:rsid w:val="00035D51"/>
    <w:rsid w:val="00036F22"/>
    <w:rsid w:val="000508E8"/>
    <w:rsid w:val="0005468D"/>
    <w:rsid w:val="000601F2"/>
    <w:rsid w:val="00060A19"/>
    <w:rsid w:val="00064FD3"/>
    <w:rsid w:val="00067BDC"/>
    <w:rsid w:val="00073FC3"/>
    <w:rsid w:val="00074DCE"/>
    <w:rsid w:val="00075F37"/>
    <w:rsid w:val="00086306"/>
    <w:rsid w:val="00087BC6"/>
    <w:rsid w:val="00094898"/>
    <w:rsid w:val="000957AB"/>
    <w:rsid w:val="000A587E"/>
    <w:rsid w:val="000C7164"/>
    <w:rsid w:val="000D484B"/>
    <w:rsid w:val="000D7B98"/>
    <w:rsid w:val="000E2154"/>
    <w:rsid w:val="000E4988"/>
    <w:rsid w:val="000E4B0C"/>
    <w:rsid w:val="000E5413"/>
    <w:rsid w:val="000F5739"/>
    <w:rsid w:val="00100576"/>
    <w:rsid w:val="001018CC"/>
    <w:rsid w:val="00103AC3"/>
    <w:rsid w:val="001141B5"/>
    <w:rsid w:val="00144619"/>
    <w:rsid w:val="00150EF2"/>
    <w:rsid w:val="00152765"/>
    <w:rsid w:val="00163616"/>
    <w:rsid w:val="00166A3F"/>
    <w:rsid w:val="0016771A"/>
    <w:rsid w:val="00181BE5"/>
    <w:rsid w:val="001A55A0"/>
    <w:rsid w:val="001B2533"/>
    <w:rsid w:val="001C4DDD"/>
    <w:rsid w:val="001D6EE7"/>
    <w:rsid w:val="001E1791"/>
    <w:rsid w:val="001E3A20"/>
    <w:rsid w:val="001F008B"/>
    <w:rsid w:val="002028A0"/>
    <w:rsid w:val="00203F11"/>
    <w:rsid w:val="002117A0"/>
    <w:rsid w:val="00212FE4"/>
    <w:rsid w:val="00216F5A"/>
    <w:rsid w:val="00224976"/>
    <w:rsid w:val="00234583"/>
    <w:rsid w:val="002410D2"/>
    <w:rsid w:val="00246825"/>
    <w:rsid w:val="002519CA"/>
    <w:rsid w:val="0025367E"/>
    <w:rsid w:val="00256C74"/>
    <w:rsid w:val="002718F3"/>
    <w:rsid w:val="00284417"/>
    <w:rsid w:val="002901EA"/>
    <w:rsid w:val="002A00B8"/>
    <w:rsid w:val="002A715F"/>
    <w:rsid w:val="002B03EB"/>
    <w:rsid w:val="002B65FC"/>
    <w:rsid w:val="002B699E"/>
    <w:rsid w:val="002C30AF"/>
    <w:rsid w:val="002C31B6"/>
    <w:rsid w:val="002C49F1"/>
    <w:rsid w:val="002C58F9"/>
    <w:rsid w:val="002D02BF"/>
    <w:rsid w:val="002D1404"/>
    <w:rsid w:val="002D7E38"/>
    <w:rsid w:val="002E0399"/>
    <w:rsid w:val="002E1518"/>
    <w:rsid w:val="002E4624"/>
    <w:rsid w:val="002E4CD3"/>
    <w:rsid w:val="002E5F18"/>
    <w:rsid w:val="00306864"/>
    <w:rsid w:val="00313236"/>
    <w:rsid w:val="00314A27"/>
    <w:rsid w:val="0032052F"/>
    <w:rsid w:val="003431B2"/>
    <w:rsid w:val="00346B2E"/>
    <w:rsid w:val="00352922"/>
    <w:rsid w:val="003560DD"/>
    <w:rsid w:val="003562AF"/>
    <w:rsid w:val="003601B9"/>
    <w:rsid w:val="00374D97"/>
    <w:rsid w:val="00384013"/>
    <w:rsid w:val="00385B97"/>
    <w:rsid w:val="003914F1"/>
    <w:rsid w:val="003A3208"/>
    <w:rsid w:val="003A3F20"/>
    <w:rsid w:val="003A7008"/>
    <w:rsid w:val="003B0995"/>
    <w:rsid w:val="003B2638"/>
    <w:rsid w:val="003C4F86"/>
    <w:rsid w:val="003E303B"/>
    <w:rsid w:val="003E702D"/>
    <w:rsid w:val="003F0448"/>
    <w:rsid w:val="003F6216"/>
    <w:rsid w:val="00407908"/>
    <w:rsid w:val="00420643"/>
    <w:rsid w:val="004246BC"/>
    <w:rsid w:val="00425D8E"/>
    <w:rsid w:val="00431872"/>
    <w:rsid w:val="00440763"/>
    <w:rsid w:val="00440F2D"/>
    <w:rsid w:val="00446EB7"/>
    <w:rsid w:val="00447615"/>
    <w:rsid w:val="00450AC6"/>
    <w:rsid w:val="00462C37"/>
    <w:rsid w:val="00463BA5"/>
    <w:rsid w:val="00464ECC"/>
    <w:rsid w:val="00470C1D"/>
    <w:rsid w:val="0047116D"/>
    <w:rsid w:val="00474A47"/>
    <w:rsid w:val="004815C4"/>
    <w:rsid w:val="0049088C"/>
    <w:rsid w:val="00491738"/>
    <w:rsid w:val="004A06CE"/>
    <w:rsid w:val="004A3DD8"/>
    <w:rsid w:val="004B487F"/>
    <w:rsid w:val="004C0CC9"/>
    <w:rsid w:val="004C5B81"/>
    <w:rsid w:val="004D098D"/>
    <w:rsid w:val="004D4474"/>
    <w:rsid w:val="004D6A40"/>
    <w:rsid w:val="004D75D2"/>
    <w:rsid w:val="004D7999"/>
    <w:rsid w:val="004E493A"/>
    <w:rsid w:val="004F6F01"/>
    <w:rsid w:val="00501588"/>
    <w:rsid w:val="00503678"/>
    <w:rsid w:val="0052199C"/>
    <w:rsid w:val="00521A8F"/>
    <w:rsid w:val="00524B32"/>
    <w:rsid w:val="00536867"/>
    <w:rsid w:val="0054149D"/>
    <w:rsid w:val="00544502"/>
    <w:rsid w:val="00556493"/>
    <w:rsid w:val="005568DF"/>
    <w:rsid w:val="00560256"/>
    <w:rsid w:val="00574853"/>
    <w:rsid w:val="00575FE8"/>
    <w:rsid w:val="00587180"/>
    <w:rsid w:val="00590A5D"/>
    <w:rsid w:val="005912C3"/>
    <w:rsid w:val="005946DF"/>
    <w:rsid w:val="005B5CB5"/>
    <w:rsid w:val="005D0627"/>
    <w:rsid w:val="005F218B"/>
    <w:rsid w:val="005F2F08"/>
    <w:rsid w:val="006216F7"/>
    <w:rsid w:val="00630834"/>
    <w:rsid w:val="00635842"/>
    <w:rsid w:val="00644BC3"/>
    <w:rsid w:val="006560A1"/>
    <w:rsid w:val="006561B8"/>
    <w:rsid w:val="0067667E"/>
    <w:rsid w:val="006769BB"/>
    <w:rsid w:val="00676AE1"/>
    <w:rsid w:val="00693D28"/>
    <w:rsid w:val="00694D58"/>
    <w:rsid w:val="00696A56"/>
    <w:rsid w:val="00696EB2"/>
    <w:rsid w:val="00697231"/>
    <w:rsid w:val="006A474E"/>
    <w:rsid w:val="006A75D5"/>
    <w:rsid w:val="006C0991"/>
    <w:rsid w:val="006C430F"/>
    <w:rsid w:val="006C6536"/>
    <w:rsid w:val="006D3DDA"/>
    <w:rsid w:val="006D4B9C"/>
    <w:rsid w:val="006D6889"/>
    <w:rsid w:val="006E7D08"/>
    <w:rsid w:val="00700BA0"/>
    <w:rsid w:val="00700E6B"/>
    <w:rsid w:val="00705BC4"/>
    <w:rsid w:val="00711D02"/>
    <w:rsid w:val="007145A8"/>
    <w:rsid w:val="0072219C"/>
    <w:rsid w:val="007235CD"/>
    <w:rsid w:val="00724F84"/>
    <w:rsid w:val="00726383"/>
    <w:rsid w:val="00762F03"/>
    <w:rsid w:val="00771548"/>
    <w:rsid w:val="00772300"/>
    <w:rsid w:val="00773F6B"/>
    <w:rsid w:val="00774617"/>
    <w:rsid w:val="007801AA"/>
    <w:rsid w:val="007820B8"/>
    <w:rsid w:val="00791576"/>
    <w:rsid w:val="007E3EEB"/>
    <w:rsid w:val="007E5BC2"/>
    <w:rsid w:val="007F17D3"/>
    <w:rsid w:val="007F4974"/>
    <w:rsid w:val="007F61E8"/>
    <w:rsid w:val="008011D5"/>
    <w:rsid w:val="008068B8"/>
    <w:rsid w:val="008115FA"/>
    <w:rsid w:val="008228DF"/>
    <w:rsid w:val="00837FD4"/>
    <w:rsid w:val="00844224"/>
    <w:rsid w:val="008466D7"/>
    <w:rsid w:val="00846E83"/>
    <w:rsid w:val="008629C0"/>
    <w:rsid w:val="008734EC"/>
    <w:rsid w:val="00882179"/>
    <w:rsid w:val="00885CED"/>
    <w:rsid w:val="0089094F"/>
    <w:rsid w:val="008A6863"/>
    <w:rsid w:val="008C7353"/>
    <w:rsid w:val="008E18FE"/>
    <w:rsid w:val="008F013D"/>
    <w:rsid w:val="008F5BF9"/>
    <w:rsid w:val="009105AC"/>
    <w:rsid w:val="009127E6"/>
    <w:rsid w:val="0091769F"/>
    <w:rsid w:val="00923AB5"/>
    <w:rsid w:val="00927FC4"/>
    <w:rsid w:val="00941D9C"/>
    <w:rsid w:val="00942996"/>
    <w:rsid w:val="0094486C"/>
    <w:rsid w:val="00946E82"/>
    <w:rsid w:val="00955F1E"/>
    <w:rsid w:val="00960874"/>
    <w:rsid w:val="009656D1"/>
    <w:rsid w:val="00980F8F"/>
    <w:rsid w:val="0098245F"/>
    <w:rsid w:val="00993C29"/>
    <w:rsid w:val="009A5E70"/>
    <w:rsid w:val="009B5A18"/>
    <w:rsid w:val="009C3E2F"/>
    <w:rsid w:val="009D1D08"/>
    <w:rsid w:val="009D2D1B"/>
    <w:rsid w:val="009D7B92"/>
    <w:rsid w:val="009E35CD"/>
    <w:rsid w:val="009F5ED4"/>
    <w:rsid w:val="009F76EA"/>
    <w:rsid w:val="00A02394"/>
    <w:rsid w:val="00A0684B"/>
    <w:rsid w:val="00A13638"/>
    <w:rsid w:val="00A15CF3"/>
    <w:rsid w:val="00A24784"/>
    <w:rsid w:val="00A27A2D"/>
    <w:rsid w:val="00A5030A"/>
    <w:rsid w:val="00A5464D"/>
    <w:rsid w:val="00A553CB"/>
    <w:rsid w:val="00A6219A"/>
    <w:rsid w:val="00A64EE3"/>
    <w:rsid w:val="00A70F87"/>
    <w:rsid w:val="00A732EC"/>
    <w:rsid w:val="00A81A62"/>
    <w:rsid w:val="00A86E55"/>
    <w:rsid w:val="00A907B5"/>
    <w:rsid w:val="00A91FBA"/>
    <w:rsid w:val="00A94EB8"/>
    <w:rsid w:val="00A96414"/>
    <w:rsid w:val="00A9798C"/>
    <w:rsid w:val="00AA52F1"/>
    <w:rsid w:val="00AB25A4"/>
    <w:rsid w:val="00AB4534"/>
    <w:rsid w:val="00AB5009"/>
    <w:rsid w:val="00AC6E8C"/>
    <w:rsid w:val="00AC6EA3"/>
    <w:rsid w:val="00AD1D80"/>
    <w:rsid w:val="00AE2B75"/>
    <w:rsid w:val="00AE4E79"/>
    <w:rsid w:val="00AE6488"/>
    <w:rsid w:val="00AF0BAD"/>
    <w:rsid w:val="00AF5F51"/>
    <w:rsid w:val="00B006A2"/>
    <w:rsid w:val="00B02F9B"/>
    <w:rsid w:val="00B047D5"/>
    <w:rsid w:val="00B11D8F"/>
    <w:rsid w:val="00B16D9A"/>
    <w:rsid w:val="00B2006C"/>
    <w:rsid w:val="00B22FB5"/>
    <w:rsid w:val="00B330B7"/>
    <w:rsid w:val="00B35ED2"/>
    <w:rsid w:val="00B523D2"/>
    <w:rsid w:val="00B66603"/>
    <w:rsid w:val="00B708D5"/>
    <w:rsid w:val="00B75CE0"/>
    <w:rsid w:val="00B93B1A"/>
    <w:rsid w:val="00B9438E"/>
    <w:rsid w:val="00BA01FB"/>
    <w:rsid w:val="00BA3093"/>
    <w:rsid w:val="00BA70AD"/>
    <w:rsid w:val="00BB00A6"/>
    <w:rsid w:val="00BB4741"/>
    <w:rsid w:val="00BB567C"/>
    <w:rsid w:val="00BB79B6"/>
    <w:rsid w:val="00BC38CE"/>
    <w:rsid w:val="00BC47DD"/>
    <w:rsid w:val="00BC75FA"/>
    <w:rsid w:val="00BD141E"/>
    <w:rsid w:val="00BD2B3F"/>
    <w:rsid w:val="00BD5764"/>
    <w:rsid w:val="00BE05E6"/>
    <w:rsid w:val="00BE0914"/>
    <w:rsid w:val="00BE28D4"/>
    <w:rsid w:val="00BE2C66"/>
    <w:rsid w:val="00BE5458"/>
    <w:rsid w:val="00BE6432"/>
    <w:rsid w:val="00C04904"/>
    <w:rsid w:val="00C174BB"/>
    <w:rsid w:val="00C238C1"/>
    <w:rsid w:val="00C35F16"/>
    <w:rsid w:val="00C408CD"/>
    <w:rsid w:val="00C50768"/>
    <w:rsid w:val="00C534C3"/>
    <w:rsid w:val="00C556EE"/>
    <w:rsid w:val="00C56AEC"/>
    <w:rsid w:val="00C57DA8"/>
    <w:rsid w:val="00C62B37"/>
    <w:rsid w:val="00C64176"/>
    <w:rsid w:val="00C646B8"/>
    <w:rsid w:val="00C67A6D"/>
    <w:rsid w:val="00C70EF7"/>
    <w:rsid w:val="00C7782E"/>
    <w:rsid w:val="00C85FFA"/>
    <w:rsid w:val="00C87ECB"/>
    <w:rsid w:val="00CA4EA6"/>
    <w:rsid w:val="00CA7C86"/>
    <w:rsid w:val="00CB53E4"/>
    <w:rsid w:val="00CB7069"/>
    <w:rsid w:val="00CC13DA"/>
    <w:rsid w:val="00CC40DD"/>
    <w:rsid w:val="00CE0222"/>
    <w:rsid w:val="00CE16B1"/>
    <w:rsid w:val="00CE4244"/>
    <w:rsid w:val="00CF1F53"/>
    <w:rsid w:val="00CF26D6"/>
    <w:rsid w:val="00CF3620"/>
    <w:rsid w:val="00CF4F51"/>
    <w:rsid w:val="00D14502"/>
    <w:rsid w:val="00D17F03"/>
    <w:rsid w:val="00D17F11"/>
    <w:rsid w:val="00D2620D"/>
    <w:rsid w:val="00D309D9"/>
    <w:rsid w:val="00D31E5E"/>
    <w:rsid w:val="00D40A77"/>
    <w:rsid w:val="00D56CAD"/>
    <w:rsid w:val="00D57036"/>
    <w:rsid w:val="00D614B6"/>
    <w:rsid w:val="00D756B0"/>
    <w:rsid w:val="00D80372"/>
    <w:rsid w:val="00D80EFC"/>
    <w:rsid w:val="00D97593"/>
    <w:rsid w:val="00DA3042"/>
    <w:rsid w:val="00DA3085"/>
    <w:rsid w:val="00DC1399"/>
    <w:rsid w:val="00DD4BFE"/>
    <w:rsid w:val="00DF18B8"/>
    <w:rsid w:val="00E014F7"/>
    <w:rsid w:val="00E052F7"/>
    <w:rsid w:val="00E2008A"/>
    <w:rsid w:val="00E20917"/>
    <w:rsid w:val="00E20B36"/>
    <w:rsid w:val="00E234C0"/>
    <w:rsid w:val="00E24358"/>
    <w:rsid w:val="00E3129F"/>
    <w:rsid w:val="00E349FE"/>
    <w:rsid w:val="00E42F24"/>
    <w:rsid w:val="00E445AC"/>
    <w:rsid w:val="00E46615"/>
    <w:rsid w:val="00E502DD"/>
    <w:rsid w:val="00E525CB"/>
    <w:rsid w:val="00E61885"/>
    <w:rsid w:val="00E63DBF"/>
    <w:rsid w:val="00E655B5"/>
    <w:rsid w:val="00E82436"/>
    <w:rsid w:val="00E846C6"/>
    <w:rsid w:val="00E8557E"/>
    <w:rsid w:val="00E85D4D"/>
    <w:rsid w:val="00E9045B"/>
    <w:rsid w:val="00E92847"/>
    <w:rsid w:val="00E97E69"/>
    <w:rsid w:val="00EA285F"/>
    <w:rsid w:val="00EA3A31"/>
    <w:rsid w:val="00EB1E1B"/>
    <w:rsid w:val="00EB1FFB"/>
    <w:rsid w:val="00EB723A"/>
    <w:rsid w:val="00EB7D41"/>
    <w:rsid w:val="00EC7DF0"/>
    <w:rsid w:val="00ED1DC9"/>
    <w:rsid w:val="00EE4172"/>
    <w:rsid w:val="00EF6508"/>
    <w:rsid w:val="00EF743F"/>
    <w:rsid w:val="00F12623"/>
    <w:rsid w:val="00F15C79"/>
    <w:rsid w:val="00F24CDB"/>
    <w:rsid w:val="00F443DF"/>
    <w:rsid w:val="00F45DB3"/>
    <w:rsid w:val="00F50F43"/>
    <w:rsid w:val="00F55F01"/>
    <w:rsid w:val="00F6434E"/>
    <w:rsid w:val="00F67050"/>
    <w:rsid w:val="00F81740"/>
    <w:rsid w:val="00F81987"/>
    <w:rsid w:val="00F91B40"/>
    <w:rsid w:val="00FA38E8"/>
    <w:rsid w:val="00FB5BF1"/>
    <w:rsid w:val="00FB6BCB"/>
    <w:rsid w:val="00FC2623"/>
    <w:rsid w:val="00FC3C14"/>
    <w:rsid w:val="00FC411C"/>
    <w:rsid w:val="00FD179D"/>
    <w:rsid w:val="00FD3D95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FF533C4"/>
  <w15:docId w15:val="{39D4E64D-4922-480B-B3E6-B4297D1C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46B2E"/>
    <w:rPr>
      <w:sz w:val="24"/>
    </w:rPr>
  </w:style>
  <w:style w:type="paragraph" w:styleId="Nadpis1">
    <w:name w:val="heading 1"/>
    <w:basedOn w:val="Normln"/>
    <w:next w:val="Normln"/>
    <w:qFormat/>
    <w:rsid w:val="009D2D1B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67050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F67050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F67050"/>
    <w:pPr>
      <w:keepNext/>
      <w:numPr>
        <w:ilvl w:val="3"/>
        <w:numId w:val="13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81BE5"/>
    <w:pPr>
      <w:numPr>
        <w:ilvl w:val="4"/>
        <w:numId w:val="13"/>
      </w:numPr>
      <w:spacing w:before="24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181BE5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181BE5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81BE5"/>
    <w:pPr>
      <w:numPr>
        <w:ilvl w:val="7"/>
        <w:numId w:val="13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181BE5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502DD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E502DD"/>
  </w:style>
  <w:style w:type="paragraph" w:styleId="Obsah2">
    <w:name w:val="toc 2"/>
    <w:basedOn w:val="Normln"/>
    <w:next w:val="Normln"/>
    <w:autoRedefine/>
    <w:semiHidden/>
    <w:rsid w:val="00E502DD"/>
    <w:pPr>
      <w:ind w:left="240"/>
    </w:pPr>
  </w:style>
  <w:style w:type="character" w:styleId="Hypertextovodkaz">
    <w:name w:val="Hyperlink"/>
    <w:rsid w:val="00E502DD"/>
    <w:rPr>
      <w:color w:val="0000FF"/>
      <w:u w:val="single"/>
    </w:rPr>
  </w:style>
  <w:style w:type="paragraph" w:styleId="Zhlav">
    <w:name w:val="header"/>
    <w:basedOn w:val="Normln"/>
    <w:rsid w:val="00E502D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502DD"/>
    <w:pPr>
      <w:jc w:val="center"/>
    </w:pPr>
    <w:rPr>
      <w:sz w:val="28"/>
    </w:rPr>
  </w:style>
  <w:style w:type="character" w:styleId="slostrnky">
    <w:name w:val="page number"/>
    <w:basedOn w:val="Standardnpsmoodstavce"/>
    <w:rsid w:val="00E502DD"/>
  </w:style>
  <w:style w:type="paragraph" w:styleId="Zkladntext2">
    <w:name w:val="Body Text 2"/>
    <w:basedOn w:val="Normln"/>
    <w:rsid w:val="00150EF2"/>
    <w:pPr>
      <w:jc w:val="both"/>
    </w:pPr>
  </w:style>
  <w:style w:type="character" w:styleId="Sledovanodkaz">
    <w:name w:val="FollowedHyperlink"/>
    <w:rsid w:val="00846E83"/>
    <w:rPr>
      <w:color w:val="800080"/>
      <w:u w:val="single"/>
    </w:rPr>
  </w:style>
  <w:style w:type="paragraph" w:styleId="Obsah3">
    <w:name w:val="toc 3"/>
    <w:basedOn w:val="Normln"/>
    <w:next w:val="Normln"/>
    <w:autoRedefine/>
    <w:uiPriority w:val="39"/>
    <w:rsid w:val="00955F1E"/>
    <w:pPr>
      <w:ind w:left="480"/>
    </w:pPr>
  </w:style>
  <w:style w:type="paragraph" w:styleId="Rozloendokumentu">
    <w:name w:val="Document Map"/>
    <w:basedOn w:val="Normln"/>
    <w:semiHidden/>
    <w:rsid w:val="00B22FB5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6D3D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D3D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A70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A700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A7008"/>
  </w:style>
  <w:style w:type="paragraph" w:styleId="Pedmtkomente">
    <w:name w:val="annotation subject"/>
    <w:basedOn w:val="Textkomente"/>
    <w:next w:val="Textkomente"/>
    <w:link w:val="PedmtkomenteChar"/>
    <w:rsid w:val="003A7008"/>
    <w:rPr>
      <w:b/>
      <w:bCs/>
    </w:rPr>
  </w:style>
  <w:style w:type="character" w:customStyle="1" w:styleId="PedmtkomenteChar">
    <w:name w:val="Předmět komentáře Char"/>
    <w:link w:val="Pedmtkomente"/>
    <w:rsid w:val="003A7008"/>
    <w:rPr>
      <w:b/>
      <w:bCs/>
    </w:rPr>
  </w:style>
  <w:style w:type="paragraph" w:styleId="Revize">
    <w:name w:val="Revision"/>
    <w:hidden/>
    <w:uiPriority w:val="99"/>
    <w:semiHidden/>
    <w:rsid w:val="00A86E55"/>
    <w:rPr>
      <w:sz w:val="24"/>
    </w:rPr>
  </w:style>
  <w:style w:type="paragraph" w:styleId="Odstavecseseznamem">
    <w:name w:val="List Paragraph"/>
    <w:basedOn w:val="Normln"/>
    <w:uiPriority w:val="34"/>
    <w:qFormat/>
    <w:rsid w:val="00BA01F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93B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&#345;edpisy\Tiskopisy\TOS_&#353;ablona_Alpi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DA6F-4FAA-4FD8-BBE6-41BBFDE0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TOS_šablona_Alpiq</Template>
  <TotalTime>1</TotalTime>
  <Pages>10</Pages>
  <Words>2182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</vt:lpstr>
    </vt:vector>
  </TitlesOfParts>
  <Company>NRG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</dc:title>
  <dc:creator>Zahradkova</dc:creator>
  <cp:lastModifiedBy>Mlčáková Ivana</cp:lastModifiedBy>
  <cp:revision>2</cp:revision>
  <cp:lastPrinted>2018-06-07T09:59:00Z</cp:lastPrinted>
  <dcterms:created xsi:type="dcterms:W3CDTF">2023-06-28T11:04:00Z</dcterms:created>
  <dcterms:modified xsi:type="dcterms:W3CDTF">2023-06-28T11:04:00Z</dcterms:modified>
</cp:coreProperties>
</file>